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6="http://schemas.microsoft.com/office/drawing/2014/main" xmlns:c="http://schemas.openxmlformats.org/drawingml/2006/chart" mc:Ignorable="w14 w15 w16se w16cid w16 w16cex wp14">
  <w:body>
    <w:p w:rsidRPr="0026054C" w:rsidR="00F7266A" w:rsidRDefault="00BF7302" w14:paraId="0DA557DD" w14:textId="77777777">
      <w:pPr>
        <w:jc w:val="both"/>
        <w:rPr>
          <w:rFonts w:asciiTheme="majorHAnsi" w:hAnsiTheme="majorHAnsi" w:cstheme="majorBidi"/>
          <w:sz w:val="32"/>
          <w:szCs w:val="32"/>
        </w:rPr>
      </w:pPr>
      <w:r w:rsidRPr="0026054C">
        <w:rPr>
          <w:rFonts w:asciiTheme="majorHAnsi" w:hAnsiTheme="majorHAnsi" w:cstheme="majorHAnsi"/>
          <w:noProof/>
          <w:sz w:val="32"/>
          <w:szCs w:val="32"/>
        </w:rPr>
        <w:drawing>
          <wp:inline distT="0" distB="0" distL="0" distR="0" wp14:anchorId="4664E8D7" wp14:editId="28455753">
            <wp:extent cx="5270501" cy="1479432"/>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270501" cy="1479432"/>
                    </a:xfrm>
                    <a:prstGeom prst="rect">
                      <a:avLst/>
                    </a:prstGeom>
                    <a:ln/>
                  </pic:spPr>
                </pic:pic>
              </a:graphicData>
            </a:graphic>
          </wp:inline>
        </w:drawing>
      </w:r>
    </w:p>
    <w:p w:rsidR="00F7266A" w:rsidP="68557CEB" w:rsidRDefault="5590DF83" w14:paraId="1B286F50" w14:textId="33B02824">
      <w:pPr>
        <w:jc w:val="right"/>
        <w:rPr>
          <w:rFonts w:ascii="Calibri" w:hAnsi="Calibri" w:cs="Times New Roman" w:asciiTheme="majorAscii" w:hAnsiTheme="majorAscii" w:cstheme="majorBidi"/>
          <w:b w:val="1"/>
          <w:bCs w:val="1"/>
          <w:sz w:val="28"/>
          <w:szCs w:val="28"/>
        </w:rPr>
      </w:pPr>
      <w:r w:rsidRPr="68557CEB" w:rsidR="19177B62">
        <w:rPr>
          <w:rFonts w:ascii="Calibri" w:hAnsi="Calibri" w:cs="Times New Roman" w:asciiTheme="majorAscii" w:hAnsiTheme="majorAscii" w:cstheme="majorBidi"/>
          <w:b w:val="1"/>
          <w:bCs w:val="1"/>
          <w:sz w:val="28"/>
          <w:szCs w:val="28"/>
        </w:rPr>
        <w:t>Τετάρτη</w:t>
      </w:r>
      <w:r w:rsidRPr="68557CEB" w:rsidR="00BF7302">
        <w:rPr>
          <w:rFonts w:ascii="Calibri" w:hAnsi="Calibri" w:cs="Times New Roman" w:asciiTheme="majorAscii" w:hAnsiTheme="majorAscii" w:cstheme="majorBidi"/>
          <w:b w:val="1"/>
          <w:bCs w:val="1"/>
          <w:sz w:val="28"/>
          <w:szCs w:val="28"/>
        </w:rPr>
        <w:t xml:space="preserve">, </w:t>
      </w:r>
      <w:r w:rsidRPr="68557CEB" w:rsidR="42465F43">
        <w:rPr>
          <w:rFonts w:ascii="Calibri" w:hAnsi="Calibri" w:cs="Times New Roman" w:asciiTheme="majorAscii" w:hAnsiTheme="majorAscii" w:cstheme="majorBidi"/>
          <w:b w:val="1"/>
          <w:bCs w:val="1"/>
          <w:sz w:val="28"/>
          <w:szCs w:val="28"/>
        </w:rPr>
        <w:t>22</w:t>
      </w:r>
      <w:r w:rsidRPr="68557CEB" w:rsidR="00565229">
        <w:rPr>
          <w:rFonts w:ascii="Calibri" w:hAnsi="Calibri" w:cs="Times New Roman" w:asciiTheme="majorAscii" w:hAnsiTheme="majorAscii" w:cstheme="majorBidi"/>
          <w:b w:val="1"/>
          <w:bCs w:val="1"/>
          <w:sz w:val="28"/>
          <w:szCs w:val="28"/>
        </w:rPr>
        <w:t xml:space="preserve"> </w:t>
      </w:r>
      <w:r w:rsidRPr="68557CEB" w:rsidR="00F734B3">
        <w:rPr>
          <w:rFonts w:ascii="Calibri" w:hAnsi="Calibri" w:cs="Times New Roman" w:asciiTheme="majorAscii" w:hAnsiTheme="majorAscii" w:cstheme="majorBidi"/>
          <w:b w:val="1"/>
          <w:bCs w:val="1"/>
          <w:sz w:val="28"/>
          <w:szCs w:val="28"/>
        </w:rPr>
        <w:t>Ιου</w:t>
      </w:r>
      <w:r w:rsidRPr="68557CEB" w:rsidR="003657C0">
        <w:rPr>
          <w:rFonts w:ascii="Calibri" w:hAnsi="Calibri" w:cs="Times New Roman" w:asciiTheme="majorAscii" w:hAnsiTheme="majorAscii" w:cstheme="majorBidi"/>
          <w:b w:val="1"/>
          <w:bCs w:val="1"/>
          <w:sz w:val="28"/>
          <w:szCs w:val="28"/>
        </w:rPr>
        <w:t>λ</w:t>
      </w:r>
      <w:r w:rsidRPr="68557CEB" w:rsidR="00F734B3">
        <w:rPr>
          <w:rFonts w:ascii="Calibri" w:hAnsi="Calibri" w:cs="Times New Roman" w:asciiTheme="majorAscii" w:hAnsiTheme="majorAscii" w:cstheme="majorBidi"/>
          <w:b w:val="1"/>
          <w:bCs w:val="1"/>
          <w:sz w:val="28"/>
          <w:szCs w:val="28"/>
        </w:rPr>
        <w:t>ίου</w:t>
      </w:r>
      <w:r w:rsidRPr="68557CEB" w:rsidR="00BF7302">
        <w:rPr>
          <w:rFonts w:ascii="Calibri" w:hAnsi="Calibri" w:cs="Times New Roman" w:asciiTheme="majorAscii" w:hAnsiTheme="majorAscii" w:cstheme="majorBidi"/>
          <w:b w:val="1"/>
          <w:bCs w:val="1"/>
          <w:sz w:val="28"/>
          <w:szCs w:val="28"/>
        </w:rPr>
        <w:t xml:space="preserve"> 2020</w:t>
      </w:r>
    </w:p>
    <w:p w:rsidRPr="0026054C" w:rsidR="009552CD" w:rsidRDefault="009552CD" w14:paraId="0CDF9DE4" w14:textId="77777777">
      <w:pPr>
        <w:jc w:val="right"/>
        <w:rPr>
          <w:rFonts w:asciiTheme="majorHAnsi" w:hAnsiTheme="majorHAnsi" w:cstheme="majorBidi"/>
          <w:b/>
          <w:sz w:val="28"/>
          <w:szCs w:val="28"/>
        </w:rPr>
      </w:pPr>
    </w:p>
    <w:p w:rsidR="00A774DF" w:rsidP="3AA1E870" w:rsidRDefault="4C0BDA72" w14:paraId="54CE5374" w14:textId="59804829">
      <w:pPr>
        <w:spacing w:after="160" w:line="259" w:lineRule="auto"/>
        <w:jc w:val="center"/>
        <w:rPr>
          <w:rFonts w:eastAsia="Calibri" w:asciiTheme="majorHAnsi" w:hAnsiTheme="majorHAnsi" w:cstheme="majorBidi"/>
          <w:b/>
          <w:bCs/>
          <w:sz w:val="28"/>
          <w:szCs w:val="28"/>
          <w:u w:val="single"/>
          <w:lang w:eastAsia="en-US"/>
        </w:rPr>
      </w:pPr>
      <w:r w:rsidRPr="3AA1E870">
        <w:rPr>
          <w:rFonts w:eastAsia="Calibri" w:asciiTheme="majorHAnsi" w:hAnsiTheme="majorHAnsi" w:cstheme="majorBidi"/>
          <w:b/>
          <w:bCs/>
          <w:sz w:val="28"/>
          <w:szCs w:val="28"/>
          <w:u w:val="single"/>
          <w:lang w:eastAsia="en-US"/>
        </w:rPr>
        <w:t xml:space="preserve">Το </w:t>
      </w:r>
      <w:r w:rsidRPr="3AA1E870" w:rsidR="719A6775">
        <w:rPr>
          <w:rFonts w:eastAsia="Calibri" w:asciiTheme="majorHAnsi" w:hAnsiTheme="majorHAnsi" w:cstheme="majorBidi"/>
          <w:b/>
          <w:bCs/>
          <w:sz w:val="28"/>
          <w:szCs w:val="28"/>
          <w:u w:val="single"/>
          <w:lang w:eastAsia="en-US"/>
        </w:rPr>
        <w:t xml:space="preserve">Α’ Εξάμηνο του </w:t>
      </w:r>
      <w:r w:rsidRPr="3AA1E870">
        <w:rPr>
          <w:rFonts w:eastAsia="Calibri" w:asciiTheme="majorHAnsi" w:hAnsiTheme="majorHAnsi" w:cstheme="majorBidi"/>
          <w:b/>
          <w:bCs/>
          <w:sz w:val="28"/>
          <w:szCs w:val="28"/>
          <w:u w:val="single"/>
          <w:lang w:eastAsia="en-US"/>
        </w:rPr>
        <w:t xml:space="preserve">2020 οι </w:t>
      </w:r>
      <w:r w:rsidRPr="3AA1E870" w:rsidR="14731BBC">
        <w:rPr>
          <w:rFonts w:eastAsia="Calibri" w:asciiTheme="majorHAnsi" w:hAnsiTheme="majorHAnsi" w:cstheme="majorBidi"/>
          <w:b/>
          <w:bCs/>
          <w:sz w:val="28"/>
          <w:szCs w:val="28"/>
          <w:u w:val="single"/>
          <w:lang w:eastAsia="en-US"/>
        </w:rPr>
        <w:t xml:space="preserve">αποχωρήσεις </w:t>
      </w:r>
      <w:r w:rsidRPr="3AA1E870">
        <w:rPr>
          <w:rFonts w:eastAsia="Calibri" w:asciiTheme="majorHAnsi" w:hAnsiTheme="majorHAnsi" w:cstheme="majorBidi"/>
          <w:b/>
          <w:bCs/>
          <w:sz w:val="28"/>
          <w:szCs w:val="28"/>
          <w:u w:val="single"/>
          <w:lang w:eastAsia="en-US"/>
        </w:rPr>
        <w:t xml:space="preserve">από </w:t>
      </w:r>
      <w:r w:rsidRPr="3AA1E870" w:rsidR="7A3E7391">
        <w:rPr>
          <w:rFonts w:eastAsia="Calibri" w:asciiTheme="majorHAnsi" w:hAnsiTheme="majorHAnsi" w:cstheme="majorBidi"/>
          <w:b/>
          <w:bCs/>
          <w:sz w:val="28"/>
          <w:szCs w:val="28"/>
          <w:u w:val="single"/>
          <w:lang w:eastAsia="en-US"/>
        </w:rPr>
        <w:t xml:space="preserve">την </w:t>
      </w:r>
      <w:r w:rsidRPr="3AA1E870">
        <w:rPr>
          <w:rFonts w:eastAsia="Calibri" w:asciiTheme="majorHAnsi" w:hAnsiTheme="majorHAnsi" w:cstheme="majorBidi"/>
          <w:b/>
          <w:bCs/>
          <w:sz w:val="28"/>
          <w:szCs w:val="28"/>
          <w:u w:val="single"/>
          <w:lang w:eastAsia="en-US"/>
        </w:rPr>
        <w:t>Ελλάδα έφτασαν το 3</w:t>
      </w:r>
      <w:r w:rsidRPr="3AA1E870" w:rsidR="3A91001C">
        <w:rPr>
          <w:rFonts w:eastAsia="Calibri" w:asciiTheme="majorHAnsi" w:hAnsiTheme="majorHAnsi" w:cstheme="majorBidi"/>
          <w:b/>
          <w:bCs/>
          <w:sz w:val="28"/>
          <w:szCs w:val="28"/>
          <w:u w:val="single"/>
          <w:lang w:eastAsia="en-US"/>
        </w:rPr>
        <w:t>6,</w:t>
      </w:r>
      <w:r w:rsidRPr="3AA1E870" w:rsidR="440B0A54">
        <w:rPr>
          <w:rFonts w:eastAsia="Calibri" w:asciiTheme="majorHAnsi" w:hAnsiTheme="majorHAnsi" w:cstheme="majorBidi"/>
          <w:b/>
          <w:bCs/>
          <w:sz w:val="28"/>
          <w:szCs w:val="28"/>
          <w:u w:val="single"/>
          <w:lang w:eastAsia="en-US"/>
        </w:rPr>
        <w:t>7</w:t>
      </w:r>
      <w:r w:rsidRPr="3AA1E870">
        <w:rPr>
          <w:rFonts w:eastAsia="Calibri" w:asciiTheme="majorHAnsi" w:hAnsiTheme="majorHAnsi" w:cstheme="majorBidi"/>
          <w:b/>
          <w:bCs/>
          <w:sz w:val="28"/>
          <w:szCs w:val="28"/>
          <w:u w:val="single"/>
          <w:lang w:eastAsia="en-US"/>
        </w:rPr>
        <w:t>% σε σχέση με τις αφίξεις</w:t>
      </w:r>
      <w:r w:rsidRPr="3AA1E870" w:rsidR="6250100E">
        <w:rPr>
          <w:rFonts w:eastAsia="Calibri" w:asciiTheme="majorHAnsi" w:hAnsiTheme="majorHAnsi" w:cstheme="majorBidi"/>
          <w:b/>
          <w:bCs/>
          <w:sz w:val="28"/>
          <w:szCs w:val="28"/>
          <w:u w:val="single"/>
          <w:lang w:eastAsia="en-US"/>
        </w:rPr>
        <w:t xml:space="preserve"> </w:t>
      </w:r>
    </w:p>
    <w:p w:rsidRPr="000C7572" w:rsidR="000C7572" w:rsidP="3AA1E870" w:rsidRDefault="049DAE35" w14:paraId="5B551903" w14:textId="5093B02E">
      <w:pPr>
        <w:spacing w:after="160" w:line="259" w:lineRule="auto"/>
        <w:jc w:val="center"/>
        <w:rPr>
          <w:rFonts w:eastAsia="Calibri" w:asciiTheme="majorHAnsi" w:hAnsiTheme="majorHAnsi" w:cstheme="majorBidi"/>
          <w:b/>
          <w:bCs/>
          <w:sz w:val="28"/>
          <w:szCs w:val="28"/>
          <w:u w:val="single"/>
          <w:lang w:eastAsia="en-US"/>
        </w:rPr>
      </w:pPr>
      <w:r w:rsidRPr="3AA1E870">
        <w:rPr>
          <w:rFonts w:eastAsia="Calibri" w:asciiTheme="majorHAnsi" w:hAnsiTheme="majorHAnsi" w:cstheme="majorBidi"/>
          <w:b/>
          <w:bCs/>
          <w:sz w:val="28"/>
          <w:szCs w:val="28"/>
          <w:u w:val="single"/>
          <w:lang w:eastAsia="en-US"/>
        </w:rPr>
        <w:t xml:space="preserve">Το αντίστοιχο διάστημα του </w:t>
      </w:r>
      <w:r w:rsidRPr="3AA1E870" w:rsidR="6250100E">
        <w:rPr>
          <w:rFonts w:eastAsia="Calibri" w:asciiTheme="majorHAnsi" w:hAnsiTheme="majorHAnsi" w:cstheme="majorBidi"/>
          <w:b/>
          <w:bCs/>
          <w:sz w:val="28"/>
          <w:szCs w:val="28"/>
          <w:u w:val="single"/>
          <w:lang w:eastAsia="en-US"/>
        </w:rPr>
        <w:t>2019</w:t>
      </w:r>
      <w:r w:rsidRPr="3AA1E870" w:rsidR="0971E2B1">
        <w:rPr>
          <w:rFonts w:eastAsia="Calibri" w:asciiTheme="majorHAnsi" w:hAnsiTheme="majorHAnsi" w:cstheme="majorBidi"/>
          <w:b/>
          <w:bCs/>
          <w:sz w:val="28"/>
          <w:szCs w:val="28"/>
          <w:u w:val="single"/>
          <w:lang w:eastAsia="en-US"/>
        </w:rPr>
        <w:t xml:space="preserve"> οι αποχωρήσεις</w:t>
      </w:r>
      <w:r w:rsidRPr="3AA1E870" w:rsidR="6250100E">
        <w:rPr>
          <w:rFonts w:eastAsia="Calibri" w:asciiTheme="majorHAnsi" w:hAnsiTheme="majorHAnsi" w:cstheme="majorBidi"/>
          <w:b/>
          <w:bCs/>
          <w:sz w:val="28"/>
          <w:szCs w:val="28"/>
          <w:u w:val="single"/>
          <w:lang w:eastAsia="en-US"/>
        </w:rPr>
        <w:t xml:space="preserve"> </w:t>
      </w:r>
      <w:r w:rsidRPr="3AA1E870" w:rsidR="39F7BBE9">
        <w:rPr>
          <w:rFonts w:eastAsia="Calibri" w:asciiTheme="majorHAnsi" w:hAnsiTheme="majorHAnsi" w:cstheme="majorBidi"/>
          <w:b/>
          <w:bCs/>
          <w:sz w:val="28"/>
          <w:szCs w:val="28"/>
          <w:u w:val="single"/>
          <w:lang w:eastAsia="en-US"/>
        </w:rPr>
        <w:t xml:space="preserve">άγγιξαν το </w:t>
      </w:r>
      <w:r w:rsidRPr="3AA1E870" w:rsidR="23D03B58">
        <w:rPr>
          <w:rFonts w:eastAsia="Calibri" w:asciiTheme="majorHAnsi" w:hAnsiTheme="majorHAnsi" w:cstheme="majorBidi"/>
          <w:b/>
          <w:bCs/>
          <w:sz w:val="28"/>
          <w:szCs w:val="28"/>
          <w:u w:val="single"/>
          <w:lang w:eastAsia="en-US"/>
        </w:rPr>
        <w:t>35,6%</w:t>
      </w:r>
      <w:r w:rsidRPr="3AA1E870" w:rsidR="14BBAD08">
        <w:rPr>
          <w:rFonts w:eastAsia="Calibri" w:asciiTheme="majorHAnsi" w:hAnsiTheme="majorHAnsi" w:cstheme="majorBidi"/>
          <w:b/>
          <w:bCs/>
          <w:sz w:val="28"/>
          <w:szCs w:val="28"/>
          <w:u w:val="single"/>
          <w:lang w:eastAsia="en-US"/>
        </w:rPr>
        <w:t xml:space="preserve"> σε σχέση με τις αφίξεις</w:t>
      </w:r>
    </w:p>
    <w:p w:rsidR="009552CD" w:rsidP="0080374E" w:rsidRDefault="009552CD" w14:paraId="3591FC41" w14:textId="77777777">
      <w:pPr>
        <w:spacing w:after="160" w:line="259" w:lineRule="auto"/>
        <w:rPr>
          <w:rFonts w:eastAsia="Calibri" w:asciiTheme="majorHAnsi" w:hAnsiTheme="majorHAnsi" w:cstheme="majorHAnsi"/>
          <w:b/>
          <w:bCs/>
          <w:sz w:val="28"/>
          <w:szCs w:val="28"/>
          <w:u w:val="single"/>
          <w:lang w:eastAsia="en-US"/>
        </w:rPr>
      </w:pPr>
    </w:p>
    <w:p w:rsidRPr="0026054C" w:rsidR="003657C0" w:rsidP="68557CEB" w:rsidRDefault="288A9BAD" w14:paraId="032CE473" w14:textId="0BC4AB54">
      <w:pPr>
        <w:spacing w:after="160" w:line="259" w:lineRule="auto"/>
        <w:jc w:val="both"/>
        <w:rPr>
          <w:rFonts w:ascii="Calibri" w:hAnsi="Calibri" w:eastAsia="Calibri" w:cs="Times New Roman" w:asciiTheme="majorAscii" w:hAnsiTheme="majorAscii" w:cstheme="majorBidi"/>
          <w:sz w:val="28"/>
          <w:szCs w:val="28"/>
          <w:lang w:eastAsia="en-US"/>
        </w:rPr>
      </w:pPr>
      <w:r w:rsidRPr="68557CEB" w:rsidR="288A9BAD">
        <w:rPr>
          <w:rFonts w:ascii="Calibri" w:hAnsi="Calibri" w:eastAsia="Calibri" w:cs="Times New Roman" w:asciiTheme="majorAscii" w:hAnsiTheme="majorAscii" w:cstheme="majorBidi"/>
          <w:sz w:val="28"/>
          <w:szCs w:val="28"/>
          <w:lang w:eastAsia="en-US"/>
        </w:rPr>
        <w:t>Το Υπουργείο Μετανάστευσης και Ασύλου δημοσιεύει το ενημερωτικό δελτίο Ιανουαρίου-Ιουνίου 2020, με τα στοιχεία</w:t>
      </w:r>
      <w:r w:rsidRPr="68557CEB" w:rsidR="401F1FCF">
        <w:rPr>
          <w:rFonts w:ascii="Calibri" w:hAnsi="Calibri" w:eastAsia="Calibri" w:cs="Times New Roman" w:asciiTheme="majorAscii" w:hAnsiTheme="majorAscii" w:cstheme="majorBidi"/>
          <w:sz w:val="28"/>
          <w:szCs w:val="28"/>
          <w:lang w:eastAsia="en-US"/>
        </w:rPr>
        <w:t xml:space="preserve"> αποχωρήσεων από την Ελλάδα. Οι αποχωρήσεις περιλαμβάνουν</w:t>
      </w:r>
      <w:r w:rsidRPr="68557CEB" w:rsidR="6FFEC0ED">
        <w:rPr>
          <w:rFonts w:ascii="Calibri" w:hAnsi="Calibri" w:eastAsia="Calibri" w:cs="Times New Roman" w:asciiTheme="majorAscii" w:hAnsiTheme="majorAscii" w:cstheme="majorBidi"/>
          <w:sz w:val="28"/>
          <w:szCs w:val="28"/>
          <w:lang w:eastAsia="en-US"/>
        </w:rPr>
        <w:t>:</w:t>
      </w:r>
      <w:r w:rsidRPr="68557CEB" w:rsidR="288A9BAD">
        <w:rPr>
          <w:rFonts w:ascii="Calibri" w:hAnsi="Calibri" w:eastAsia="Calibri" w:cs="Times New Roman" w:asciiTheme="majorAscii" w:hAnsiTheme="majorAscii" w:cstheme="majorBidi"/>
          <w:sz w:val="28"/>
          <w:szCs w:val="28"/>
          <w:lang w:eastAsia="en-US"/>
        </w:rPr>
        <w:t xml:space="preserve"> </w:t>
      </w:r>
      <w:r w:rsidRPr="68557CEB" w:rsidR="036CC0FA">
        <w:rPr>
          <w:rFonts w:ascii="Calibri" w:hAnsi="Calibri" w:eastAsia="Calibri" w:cs="Times New Roman" w:asciiTheme="majorAscii" w:hAnsiTheme="majorAscii" w:cstheme="majorBidi"/>
          <w:sz w:val="28"/>
          <w:szCs w:val="28"/>
          <w:lang w:eastAsia="en-US"/>
        </w:rPr>
        <w:t>i</w:t>
      </w:r>
      <w:r w:rsidRPr="68557CEB" w:rsidR="2141CFC9">
        <w:rPr>
          <w:rFonts w:ascii="Calibri" w:hAnsi="Calibri" w:eastAsia="Calibri" w:cs="Times New Roman" w:asciiTheme="majorAscii" w:hAnsiTheme="majorAscii" w:cstheme="majorBidi"/>
          <w:sz w:val="28"/>
          <w:szCs w:val="28"/>
          <w:lang w:eastAsia="en-US"/>
        </w:rPr>
        <w:t xml:space="preserve">) </w:t>
      </w:r>
      <w:r w:rsidRPr="68557CEB" w:rsidR="5FCD2B10">
        <w:rPr>
          <w:rFonts w:ascii="Calibri" w:hAnsi="Calibri" w:eastAsia="Calibri" w:cs="Times New Roman" w:asciiTheme="majorAscii" w:hAnsiTheme="majorAscii" w:cstheme="majorBidi"/>
          <w:sz w:val="28"/>
          <w:szCs w:val="28"/>
          <w:lang w:eastAsia="en-US"/>
        </w:rPr>
        <w:t>αναγκαστικ</w:t>
      </w:r>
      <w:r w:rsidRPr="68557CEB" w:rsidR="7F30B03C">
        <w:rPr>
          <w:rFonts w:ascii="Calibri" w:hAnsi="Calibri" w:eastAsia="Calibri" w:cs="Times New Roman" w:asciiTheme="majorAscii" w:hAnsiTheme="majorAscii" w:cstheme="majorBidi"/>
          <w:sz w:val="28"/>
          <w:szCs w:val="28"/>
          <w:lang w:eastAsia="en-US"/>
        </w:rPr>
        <w:t>ές</w:t>
      </w:r>
      <w:r w:rsidRPr="68557CEB" w:rsidR="5FCD2B10">
        <w:rPr>
          <w:rFonts w:ascii="Calibri" w:hAnsi="Calibri" w:eastAsia="Calibri" w:cs="Times New Roman" w:asciiTheme="majorAscii" w:hAnsiTheme="majorAscii" w:cstheme="majorBidi"/>
          <w:sz w:val="28"/>
          <w:szCs w:val="28"/>
          <w:lang w:eastAsia="en-US"/>
        </w:rPr>
        <w:t xml:space="preserve"> απελάσε</w:t>
      </w:r>
      <w:r w:rsidRPr="68557CEB" w:rsidR="64F63D26">
        <w:rPr>
          <w:rFonts w:ascii="Calibri" w:hAnsi="Calibri" w:eastAsia="Calibri" w:cs="Times New Roman" w:asciiTheme="majorAscii" w:hAnsiTheme="majorAscii" w:cstheme="majorBidi"/>
          <w:sz w:val="28"/>
          <w:szCs w:val="28"/>
          <w:lang w:eastAsia="en-US"/>
        </w:rPr>
        <w:t>ις</w:t>
      </w:r>
      <w:r w:rsidRPr="68557CEB" w:rsidR="5FCD2B10">
        <w:rPr>
          <w:rFonts w:ascii="Calibri" w:hAnsi="Calibri" w:eastAsia="Calibri" w:cs="Times New Roman" w:asciiTheme="majorAscii" w:hAnsiTheme="majorAscii" w:cstheme="majorBidi"/>
          <w:sz w:val="28"/>
          <w:szCs w:val="28"/>
          <w:lang w:eastAsia="en-US"/>
        </w:rPr>
        <w:t xml:space="preserve"> προς τρίτες χώρες, </w:t>
      </w:r>
      <w:proofErr w:type="spellStart"/>
      <w:r w:rsidRPr="68557CEB" w:rsidR="0E66BE2B">
        <w:rPr>
          <w:rFonts w:ascii="Calibri" w:hAnsi="Calibri" w:eastAsia="Calibri" w:cs="Times New Roman" w:asciiTheme="majorAscii" w:hAnsiTheme="majorAscii" w:cstheme="majorBidi"/>
          <w:sz w:val="28"/>
          <w:szCs w:val="28"/>
          <w:lang w:eastAsia="en-US"/>
        </w:rPr>
        <w:t>ii</w:t>
      </w:r>
      <w:proofErr w:type="spellEnd"/>
      <w:r w:rsidRPr="68557CEB" w:rsidR="02A3B4A6">
        <w:rPr>
          <w:rFonts w:ascii="Calibri" w:hAnsi="Calibri" w:eastAsia="Calibri" w:cs="Times New Roman" w:asciiTheme="majorAscii" w:hAnsiTheme="majorAscii" w:cstheme="majorBidi"/>
          <w:sz w:val="28"/>
          <w:szCs w:val="28"/>
          <w:lang w:eastAsia="en-US"/>
        </w:rPr>
        <w:t xml:space="preserve">) </w:t>
      </w:r>
      <w:r w:rsidRPr="68557CEB" w:rsidR="5FCD2B10">
        <w:rPr>
          <w:rFonts w:ascii="Calibri" w:hAnsi="Calibri" w:eastAsia="Calibri" w:cs="Times New Roman" w:asciiTheme="majorAscii" w:hAnsiTheme="majorAscii" w:cstheme="majorBidi"/>
          <w:sz w:val="28"/>
          <w:szCs w:val="28"/>
          <w:lang w:eastAsia="en-US"/>
        </w:rPr>
        <w:t>επιστροφ</w:t>
      </w:r>
      <w:r w:rsidRPr="68557CEB" w:rsidR="0D5A10BA">
        <w:rPr>
          <w:rFonts w:ascii="Calibri" w:hAnsi="Calibri" w:eastAsia="Calibri" w:cs="Times New Roman" w:asciiTheme="majorAscii" w:hAnsiTheme="majorAscii" w:cstheme="majorBidi"/>
          <w:sz w:val="28"/>
          <w:szCs w:val="28"/>
          <w:lang w:eastAsia="en-US"/>
        </w:rPr>
        <w:t>ές</w:t>
      </w:r>
      <w:r w:rsidRPr="68557CEB" w:rsidR="5FCD2B10">
        <w:rPr>
          <w:rFonts w:ascii="Calibri" w:hAnsi="Calibri" w:eastAsia="Calibri" w:cs="Times New Roman" w:asciiTheme="majorAscii" w:hAnsiTheme="majorAscii" w:cstheme="majorBidi"/>
          <w:sz w:val="28"/>
          <w:szCs w:val="28"/>
          <w:lang w:eastAsia="en-US"/>
        </w:rPr>
        <w:t xml:space="preserve"> προς την Τουρκία, </w:t>
      </w:r>
      <w:proofErr w:type="spellStart"/>
      <w:r w:rsidRPr="68557CEB" w:rsidR="697032AC">
        <w:rPr>
          <w:rFonts w:ascii="Calibri" w:hAnsi="Calibri" w:eastAsia="Calibri" w:cs="Times New Roman" w:asciiTheme="majorAscii" w:hAnsiTheme="majorAscii" w:cstheme="majorBidi"/>
          <w:sz w:val="28"/>
          <w:szCs w:val="28"/>
          <w:lang w:eastAsia="en-US"/>
        </w:rPr>
        <w:t>iii</w:t>
      </w:r>
      <w:proofErr w:type="spellEnd"/>
      <w:r w:rsidRPr="68557CEB" w:rsidR="0538F1B3">
        <w:rPr>
          <w:rFonts w:ascii="Calibri" w:hAnsi="Calibri" w:eastAsia="Calibri" w:cs="Times New Roman" w:asciiTheme="majorAscii" w:hAnsiTheme="majorAscii" w:cstheme="majorBidi"/>
          <w:sz w:val="28"/>
          <w:szCs w:val="28"/>
          <w:lang w:eastAsia="en-US"/>
        </w:rPr>
        <w:t>) επιστροφ</w:t>
      </w:r>
      <w:r w:rsidRPr="68557CEB" w:rsidR="27D39099">
        <w:rPr>
          <w:rFonts w:ascii="Calibri" w:hAnsi="Calibri" w:eastAsia="Calibri" w:cs="Times New Roman" w:asciiTheme="majorAscii" w:hAnsiTheme="majorAscii" w:cstheme="majorBidi"/>
          <w:sz w:val="28"/>
          <w:szCs w:val="28"/>
          <w:lang w:eastAsia="en-US"/>
        </w:rPr>
        <w:t>ές</w:t>
      </w:r>
      <w:r w:rsidRPr="68557CEB" w:rsidR="0538F1B3">
        <w:rPr>
          <w:rFonts w:ascii="Calibri" w:hAnsi="Calibri" w:eastAsia="Calibri" w:cs="Times New Roman" w:asciiTheme="majorAscii" w:hAnsiTheme="majorAscii" w:cstheme="majorBidi"/>
          <w:sz w:val="28"/>
          <w:szCs w:val="28"/>
          <w:lang w:eastAsia="en-US"/>
        </w:rPr>
        <w:t xml:space="preserve"> </w:t>
      </w:r>
      <w:r w:rsidRPr="68557CEB" w:rsidR="5FCD2B10">
        <w:rPr>
          <w:rFonts w:ascii="Calibri" w:hAnsi="Calibri" w:eastAsia="Calibri" w:cs="Times New Roman" w:asciiTheme="majorAscii" w:hAnsiTheme="majorAscii" w:cstheme="majorBidi"/>
          <w:sz w:val="28"/>
          <w:szCs w:val="28"/>
          <w:lang w:eastAsia="en-US"/>
        </w:rPr>
        <w:t xml:space="preserve">βάσει της Κοινής Δήλωσης Ε.Ε.-Τουρκίας, </w:t>
      </w:r>
      <w:proofErr w:type="spellStart"/>
      <w:r w:rsidRPr="68557CEB" w:rsidR="38935EAD">
        <w:rPr>
          <w:rFonts w:ascii="Calibri" w:hAnsi="Calibri" w:eastAsia="Calibri" w:cs="Times New Roman" w:asciiTheme="majorAscii" w:hAnsiTheme="majorAscii" w:cstheme="majorBidi"/>
          <w:sz w:val="28"/>
          <w:szCs w:val="28"/>
          <w:lang w:eastAsia="en-US"/>
        </w:rPr>
        <w:t>iv</w:t>
      </w:r>
      <w:proofErr w:type="spellEnd"/>
      <w:r w:rsidRPr="68557CEB" w:rsidR="7456D3ED">
        <w:rPr>
          <w:rFonts w:ascii="Calibri" w:hAnsi="Calibri" w:eastAsia="Calibri" w:cs="Times New Roman" w:asciiTheme="majorAscii" w:hAnsiTheme="majorAscii" w:cstheme="majorBidi"/>
          <w:sz w:val="28"/>
          <w:szCs w:val="28"/>
          <w:lang w:eastAsia="en-US"/>
        </w:rPr>
        <w:t xml:space="preserve">) </w:t>
      </w:r>
      <w:r w:rsidRPr="68557CEB" w:rsidR="5FCD2B10">
        <w:rPr>
          <w:rFonts w:ascii="Calibri" w:hAnsi="Calibri" w:eastAsia="Calibri" w:cs="Times New Roman" w:asciiTheme="majorAscii" w:hAnsiTheme="majorAscii" w:cstheme="majorBidi"/>
          <w:sz w:val="28"/>
          <w:szCs w:val="28"/>
          <w:lang w:eastAsia="en-US"/>
        </w:rPr>
        <w:t>οικειοθελ</w:t>
      </w:r>
      <w:r w:rsidRPr="68557CEB" w:rsidR="50DBAACC">
        <w:rPr>
          <w:rFonts w:ascii="Calibri" w:hAnsi="Calibri" w:eastAsia="Calibri" w:cs="Times New Roman" w:asciiTheme="majorAscii" w:hAnsiTheme="majorAscii" w:cstheme="majorBidi"/>
          <w:sz w:val="28"/>
          <w:szCs w:val="28"/>
          <w:lang w:eastAsia="en-US"/>
        </w:rPr>
        <w:t>είς</w:t>
      </w:r>
      <w:r w:rsidRPr="68557CEB" w:rsidR="5FCD2B10">
        <w:rPr>
          <w:rFonts w:ascii="Calibri" w:hAnsi="Calibri" w:eastAsia="Calibri" w:cs="Times New Roman" w:asciiTheme="majorAscii" w:hAnsiTheme="majorAscii" w:cstheme="majorBidi"/>
          <w:sz w:val="28"/>
          <w:szCs w:val="28"/>
          <w:lang w:eastAsia="en-US"/>
        </w:rPr>
        <w:t xml:space="preserve"> αναχωρήσε</w:t>
      </w:r>
      <w:r w:rsidRPr="68557CEB" w:rsidR="36A4D0CC">
        <w:rPr>
          <w:rFonts w:ascii="Calibri" w:hAnsi="Calibri" w:eastAsia="Calibri" w:cs="Times New Roman" w:asciiTheme="majorAscii" w:hAnsiTheme="majorAscii" w:cstheme="majorBidi"/>
          <w:sz w:val="28"/>
          <w:szCs w:val="28"/>
          <w:lang w:eastAsia="en-US"/>
        </w:rPr>
        <w:t>ις</w:t>
      </w:r>
      <w:r w:rsidRPr="68557CEB" w:rsidR="5FCD2B10">
        <w:rPr>
          <w:rFonts w:ascii="Calibri" w:hAnsi="Calibri" w:eastAsia="Calibri" w:cs="Times New Roman" w:asciiTheme="majorAscii" w:hAnsiTheme="majorAscii" w:cstheme="majorBidi"/>
          <w:sz w:val="28"/>
          <w:szCs w:val="28"/>
          <w:lang w:eastAsia="en-US"/>
        </w:rPr>
        <w:t xml:space="preserve">, </w:t>
      </w:r>
      <w:r w:rsidRPr="68557CEB" w:rsidR="371CC657">
        <w:rPr>
          <w:rFonts w:ascii="Calibri" w:hAnsi="Calibri" w:eastAsia="Calibri" w:cs="Times New Roman" w:asciiTheme="majorAscii" w:hAnsiTheme="majorAscii" w:cstheme="majorBidi"/>
          <w:sz w:val="28"/>
          <w:szCs w:val="28"/>
          <w:lang w:eastAsia="en-US"/>
        </w:rPr>
        <w:t>v</w:t>
      </w:r>
      <w:r w:rsidRPr="68557CEB" w:rsidR="6D2A5F3F">
        <w:rPr>
          <w:rFonts w:ascii="Calibri" w:hAnsi="Calibri" w:eastAsia="Calibri" w:cs="Times New Roman" w:asciiTheme="majorAscii" w:hAnsiTheme="majorAscii" w:cstheme="majorBidi"/>
          <w:sz w:val="28"/>
          <w:szCs w:val="28"/>
          <w:lang w:eastAsia="en-US"/>
        </w:rPr>
        <w:t xml:space="preserve">) </w:t>
      </w:r>
      <w:proofErr w:type="spellStart"/>
      <w:r w:rsidRPr="68557CEB" w:rsidR="34197671">
        <w:rPr>
          <w:rFonts w:ascii="Calibri" w:hAnsi="Calibri" w:eastAsia="Calibri" w:cs="Times New Roman" w:asciiTheme="majorAscii" w:hAnsiTheme="majorAscii" w:cstheme="majorBidi"/>
          <w:sz w:val="28"/>
          <w:szCs w:val="28"/>
          <w:lang w:eastAsia="en-US"/>
        </w:rPr>
        <w:t>εθελουσί</w:t>
      </w:r>
      <w:r w:rsidRPr="68557CEB" w:rsidR="6AB12945">
        <w:rPr>
          <w:rFonts w:ascii="Calibri" w:hAnsi="Calibri" w:eastAsia="Calibri" w:cs="Times New Roman" w:asciiTheme="majorAscii" w:hAnsiTheme="majorAscii" w:cstheme="majorBidi"/>
          <w:sz w:val="28"/>
          <w:szCs w:val="28"/>
          <w:lang w:eastAsia="en-US"/>
        </w:rPr>
        <w:t>ες</w:t>
      </w:r>
      <w:proofErr w:type="spellEnd"/>
      <w:r w:rsidRPr="68557CEB" w:rsidR="6AB12945">
        <w:rPr>
          <w:rFonts w:ascii="Calibri" w:hAnsi="Calibri" w:eastAsia="Calibri" w:cs="Times New Roman" w:asciiTheme="majorAscii" w:hAnsiTheme="majorAscii" w:cstheme="majorBidi"/>
          <w:sz w:val="28"/>
          <w:szCs w:val="28"/>
          <w:lang w:eastAsia="en-US"/>
        </w:rPr>
        <w:t xml:space="preserve"> επιστροφές μ</w:t>
      </w:r>
      <w:r w:rsidRPr="68557CEB" w:rsidR="34197671">
        <w:rPr>
          <w:rFonts w:ascii="Calibri" w:hAnsi="Calibri" w:eastAsia="Calibri" w:cs="Times New Roman" w:asciiTheme="majorAscii" w:hAnsiTheme="majorAscii" w:cstheme="majorBidi"/>
          <w:sz w:val="28"/>
          <w:szCs w:val="28"/>
          <w:lang w:eastAsia="en-US"/>
        </w:rPr>
        <w:t xml:space="preserve">έσω </w:t>
      </w:r>
      <w:r w:rsidRPr="68557CEB" w:rsidR="089F93CE">
        <w:rPr>
          <w:rFonts w:ascii="Calibri" w:hAnsi="Calibri" w:eastAsia="Calibri" w:cs="Times New Roman" w:asciiTheme="majorAscii" w:hAnsiTheme="majorAscii" w:cstheme="majorBidi"/>
          <w:sz w:val="28"/>
          <w:szCs w:val="28"/>
          <w:lang w:eastAsia="en-US"/>
        </w:rPr>
        <w:t xml:space="preserve">του </w:t>
      </w:r>
      <w:r w:rsidRPr="68557CEB" w:rsidR="34197671">
        <w:rPr>
          <w:rFonts w:ascii="Calibri" w:hAnsi="Calibri" w:eastAsia="Calibri" w:cs="Times New Roman" w:asciiTheme="majorAscii" w:hAnsiTheme="majorAscii" w:cstheme="majorBidi"/>
          <w:sz w:val="28"/>
          <w:szCs w:val="28"/>
          <w:lang w:eastAsia="en-US"/>
        </w:rPr>
        <w:t>Διεθνούς Οργανισμού Μετανάστευσης</w:t>
      </w:r>
      <w:r w:rsidRPr="68557CEB" w:rsidR="0599787D">
        <w:rPr>
          <w:rFonts w:ascii="Calibri" w:hAnsi="Calibri" w:eastAsia="Calibri" w:cs="Times New Roman" w:asciiTheme="majorAscii" w:hAnsiTheme="majorAscii" w:cstheme="majorBidi"/>
          <w:sz w:val="28"/>
          <w:szCs w:val="28"/>
          <w:lang w:eastAsia="en-US"/>
        </w:rPr>
        <w:t>,</w:t>
      </w:r>
      <w:r w:rsidRPr="68557CEB" w:rsidR="34197671">
        <w:rPr>
          <w:rFonts w:ascii="Calibri" w:hAnsi="Calibri" w:eastAsia="Calibri" w:cs="Times New Roman" w:asciiTheme="majorAscii" w:hAnsiTheme="majorAscii" w:cstheme="majorBidi"/>
          <w:sz w:val="28"/>
          <w:szCs w:val="28"/>
          <w:lang w:eastAsia="en-US"/>
        </w:rPr>
        <w:t xml:space="preserve"> </w:t>
      </w:r>
      <w:proofErr w:type="spellStart"/>
      <w:r w:rsidRPr="68557CEB" w:rsidR="424CF1C9">
        <w:rPr>
          <w:rFonts w:ascii="Calibri" w:hAnsi="Calibri" w:eastAsia="Calibri" w:cs="Times New Roman" w:asciiTheme="majorAscii" w:hAnsiTheme="majorAscii" w:cstheme="majorBidi"/>
          <w:sz w:val="28"/>
          <w:szCs w:val="28"/>
          <w:lang w:eastAsia="en-US"/>
        </w:rPr>
        <w:t>vi</w:t>
      </w:r>
      <w:proofErr w:type="spellEnd"/>
      <w:r w:rsidRPr="68557CEB" w:rsidR="643B931A">
        <w:rPr>
          <w:rFonts w:ascii="Calibri" w:hAnsi="Calibri" w:eastAsia="Calibri" w:cs="Times New Roman" w:asciiTheme="majorAscii" w:hAnsiTheme="majorAscii" w:cstheme="majorBidi"/>
          <w:sz w:val="28"/>
          <w:szCs w:val="28"/>
          <w:lang w:eastAsia="en-US"/>
        </w:rPr>
        <w:t xml:space="preserve">) </w:t>
      </w:r>
      <w:r w:rsidRPr="68557CEB" w:rsidR="288A9BAD">
        <w:rPr>
          <w:rFonts w:ascii="Calibri" w:hAnsi="Calibri" w:eastAsia="Calibri" w:cs="Times New Roman" w:asciiTheme="majorAscii" w:hAnsiTheme="majorAscii" w:cstheme="majorBidi"/>
          <w:sz w:val="28"/>
          <w:szCs w:val="28"/>
          <w:lang w:eastAsia="en-US"/>
        </w:rPr>
        <w:t>μ</w:t>
      </w:r>
      <w:r w:rsidRPr="68557CEB" w:rsidR="3D797E58">
        <w:rPr>
          <w:rFonts w:ascii="Calibri" w:hAnsi="Calibri" w:eastAsia="Calibri" w:cs="Times New Roman" w:asciiTheme="majorAscii" w:hAnsiTheme="majorAscii" w:cstheme="majorBidi"/>
          <w:sz w:val="28"/>
          <w:szCs w:val="28"/>
          <w:lang w:eastAsia="en-US"/>
        </w:rPr>
        <w:t>ετεγκατ</w:t>
      </w:r>
      <w:r w:rsidRPr="68557CEB" w:rsidR="35BCE6BB">
        <w:rPr>
          <w:rFonts w:ascii="Calibri" w:hAnsi="Calibri" w:eastAsia="Calibri" w:cs="Times New Roman" w:asciiTheme="majorAscii" w:hAnsiTheme="majorAscii" w:cstheme="majorBidi"/>
          <w:sz w:val="28"/>
          <w:szCs w:val="28"/>
          <w:lang w:eastAsia="en-US"/>
        </w:rPr>
        <w:t>άσταση</w:t>
      </w:r>
      <w:r w:rsidRPr="68557CEB" w:rsidR="3D797E58">
        <w:rPr>
          <w:rFonts w:ascii="Calibri" w:hAnsi="Calibri" w:eastAsia="Calibri" w:cs="Times New Roman" w:asciiTheme="majorAscii" w:hAnsiTheme="majorAscii" w:cstheme="majorBidi"/>
          <w:sz w:val="28"/>
          <w:szCs w:val="28"/>
          <w:lang w:eastAsia="en-US"/>
        </w:rPr>
        <w:t xml:space="preserve"> </w:t>
      </w:r>
      <w:r w:rsidRPr="68557CEB" w:rsidR="288A9BAD">
        <w:rPr>
          <w:rFonts w:ascii="Calibri" w:hAnsi="Calibri" w:eastAsia="Calibri" w:cs="Times New Roman" w:asciiTheme="majorAscii" w:hAnsiTheme="majorAscii" w:cstheme="majorBidi"/>
          <w:sz w:val="28"/>
          <w:szCs w:val="28"/>
          <w:lang w:eastAsia="en-US"/>
        </w:rPr>
        <w:t>ασυνόδευτων ανηλίκων</w:t>
      </w:r>
      <w:r w:rsidRPr="68557CEB" w:rsidR="33C6FD74">
        <w:rPr>
          <w:rFonts w:ascii="Calibri" w:hAnsi="Calibri" w:eastAsia="Calibri" w:cs="Times New Roman" w:asciiTheme="majorAscii" w:hAnsiTheme="majorAscii" w:cstheme="majorBidi"/>
          <w:sz w:val="28"/>
          <w:szCs w:val="28"/>
          <w:lang w:eastAsia="en-US"/>
        </w:rPr>
        <w:t xml:space="preserve"> και</w:t>
      </w:r>
      <w:r w:rsidRPr="68557CEB" w:rsidR="288A9BAD">
        <w:rPr>
          <w:rFonts w:ascii="Calibri" w:hAnsi="Calibri" w:eastAsia="Calibri" w:cs="Times New Roman" w:asciiTheme="majorAscii" w:hAnsiTheme="majorAscii" w:cstheme="majorBidi"/>
          <w:sz w:val="28"/>
          <w:szCs w:val="28"/>
          <w:lang w:eastAsia="en-US"/>
        </w:rPr>
        <w:t xml:space="preserve"> </w:t>
      </w:r>
      <w:r w:rsidRPr="68557CEB" w:rsidR="29F6DC13">
        <w:rPr>
          <w:rFonts w:ascii="Calibri" w:hAnsi="Calibri" w:eastAsia="Calibri" w:cs="Times New Roman" w:asciiTheme="majorAscii" w:hAnsiTheme="majorAscii" w:cstheme="majorBidi"/>
          <w:sz w:val="28"/>
          <w:szCs w:val="28"/>
          <w:lang w:eastAsia="en-US"/>
        </w:rPr>
        <w:t xml:space="preserve">v </w:t>
      </w:r>
      <w:proofErr w:type="spellStart"/>
      <w:r w:rsidRPr="68557CEB" w:rsidR="29F6DC13">
        <w:rPr>
          <w:rFonts w:ascii="Calibri" w:hAnsi="Calibri" w:eastAsia="Calibri" w:cs="Times New Roman" w:asciiTheme="majorAscii" w:hAnsiTheme="majorAscii" w:cstheme="majorBidi"/>
          <w:sz w:val="28"/>
          <w:szCs w:val="28"/>
          <w:lang w:eastAsia="en-US"/>
        </w:rPr>
        <w:t>ii</w:t>
      </w:r>
      <w:proofErr w:type="spellEnd"/>
      <w:r w:rsidRPr="68557CEB" w:rsidR="74F6C595">
        <w:rPr>
          <w:rFonts w:ascii="Calibri" w:hAnsi="Calibri" w:eastAsia="Calibri" w:cs="Times New Roman" w:asciiTheme="majorAscii" w:hAnsiTheme="majorAscii" w:cstheme="majorBidi"/>
          <w:sz w:val="28"/>
          <w:szCs w:val="28"/>
          <w:lang w:eastAsia="en-US"/>
        </w:rPr>
        <w:t xml:space="preserve">) </w:t>
      </w:r>
      <w:r w:rsidRPr="68557CEB" w:rsidR="288A9BAD">
        <w:rPr>
          <w:rFonts w:ascii="Calibri" w:hAnsi="Calibri" w:eastAsia="Calibri" w:cs="Times New Roman" w:asciiTheme="majorAscii" w:hAnsiTheme="majorAscii" w:cstheme="majorBidi"/>
          <w:sz w:val="28"/>
          <w:szCs w:val="28"/>
          <w:lang w:eastAsia="en-US"/>
        </w:rPr>
        <w:t>μεταφορ</w:t>
      </w:r>
      <w:r w:rsidRPr="68557CEB" w:rsidR="26212B86">
        <w:rPr>
          <w:rFonts w:ascii="Calibri" w:hAnsi="Calibri" w:eastAsia="Calibri" w:cs="Times New Roman" w:asciiTheme="majorAscii" w:hAnsiTheme="majorAscii" w:cstheme="majorBidi"/>
          <w:sz w:val="28"/>
          <w:szCs w:val="28"/>
          <w:lang w:eastAsia="en-US"/>
        </w:rPr>
        <w:t>ές</w:t>
      </w:r>
      <w:r w:rsidRPr="68557CEB" w:rsidR="288A9BAD">
        <w:rPr>
          <w:rFonts w:ascii="Calibri" w:hAnsi="Calibri" w:eastAsia="Calibri" w:cs="Times New Roman" w:asciiTheme="majorAscii" w:hAnsiTheme="majorAscii" w:cstheme="majorBidi"/>
          <w:sz w:val="28"/>
          <w:szCs w:val="28"/>
          <w:lang w:eastAsia="en-US"/>
        </w:rPr>
        <w:t xml:space="preserve"> βάσει του κανονισμού υπ’ αριθμόν 604/2013 (</w:t>
      </w:r>
      <w:r w:rsidRPr="68557CEB" w:rsidR="20F46A35">
        <w:rPr>
          <w:rFonts w:ascii="Calibri" w:hAnsi="Calibri" w:eastAsia="Calibri" w:cs="Times New Roman" w:asciiTheme="majorAscii" w:hAnsiTheme="majorAscii" w:cstheme="majorBidi"/>
          <w:sz w:val="28"/>
          <w:szCs w:val="28"/>
          <w:lang w:eastAsia="en-US"/>
        </w:rPr>
        <w:t xml:space="preserve">Κανονισμός του </w:t>
      </w:r>
      <w:r w:rsidRPr="68557CEB" w:rsidR="288A9BAD">
        <w:rPr>
          <w:rFonts w:ascii="Calibri" w:hAnsi="Calibri" w:eastAsia="Calibri" w:cs="Times New Roman" w:asciiTheme="majorAscii" w:hAnsiTheme="majorAscii" w:cstheme="majorBidi"/>
          <w:sz w:val="28"/>
          <w:szCs w:val="28"/>
          <w:lang w:eastAsia="en-US"/>
        </w:rPr>
        <w:t>Δουβλίνο</w:t>
      </w:r>
      <w:r w:rsidRPr="68557CEB" w:rsidR="1FDC0287">
        <w:rPr>
          <w:rFonts w:ascii="Calibri" w:hAnsi="Calibri" w:eastAsia="Calibri" w:cs="Times New Roman" w:asciiTheme="majorAscii" w:hAnsiTheme="majorAscii" w:cstheme="majorBidi"/>
          <w:sz w:val="28"/>
          <w:szCs w:val="28"/>
          <w:lang w:eastAsia="en-US"/>
        </w:rPr>
        <w:t>υ</w:t>
      </w:r>
      <w:r w:rsidRPr="68557CEB" w:rsidR="288A9BAD">
        <w:rPr>
          <w:rFonts w:ascii="Calibri" w:hAnsi="Calibri" w:eastAsia="Calibri" w:cs="Times New Roman" w:asciiTheme="majorAscii" w:hAnsiTheme="majorAscii" w:cstheme="majorBidi"/>
          <w:sz w:val="28"/>
          <w:szCs w:val="28"/>
          <w:lang w:eastAsia="en-US"/>
        </w:rPr>
        <w:t>)</w:t>
      </w:r>
      <w:r w:rsidRPr="68557CEB" w:rsidR="74DC262A">
        <w:rPr>
          <w:rFonts w:ascii="Calibri" w:hAnsi="Calibri" w:eastAsia="Calibri" w:cs="Times New Roman" w:asciiTheme="majorAscii" w:hAnsiTheme="majorAscii" w:cstheme="majorBidi"/>
          <w:sz w:val="28"/>
          <w:szCs w:val="28"/>
          <w:lang w:eastAsia="en-US"/>
        </w:rPr>
        <w:t>.</w:t>
      </w:r>
    </w:p>
    <w:p w:rsidR="003657C0" w:rsidP="68557CEB" w:rsidRDefault="288A9BAD" w14:paraId="43185AB0" w14:textId="1FEDD090">
      <w:pPr>
        <w:spacing w:after="160" w:line="259" w:lineRule="auto"/>
        <w:jc w:val="both"/>
        <w:rPr>
          <w:rFonts w:ascii="Calibri" w:hAnsi="Calibri" w:eastAsia="Calibri" w:cs="Times New Roman" w:asciiTheme="majorAscii" w:hAnsiTheme="majorAscii" w:cstheme="majorBidi"/>
          <w:sz w:val="28"/>
          <w:szCs w:val="28"/>
          <w:lang w:eastAsia="en-US"/>
        </w:rPr>
      </w:pPr>
      <w:r w:rsidRPr="68557CEB" w:rsidR="288A9BAD">
        <w:rPr>
          <w:rFonts w:ascii="Calibri" w:hAnsi="Calibri" w:eastAsia="Calibri" w:cs="Times New Roman" w:asciiTheme="majorAscii" w:hAnsiTheme="majorAscii" w:cstheme="majorBidi"/>
          <w:sz w:val="28"/>
          <w:szCs w:val="28"/>
          <w:lang w:eastAsia="en-US"/>
        </w:rPr>
        <w:t>Το Α’ Εξάμηνο του 2020 έχουν αποχωρήσει από την Ελλάδα και</w:t>
      </w:r>
      <w:r w:rsidRPr="68557CEB" w:rsidR="75AA6671">
        <w:rPr>
          <w:rFonts w:ascii="Calibri" w:hAnsi="Calibri" w:eastAsia="Calibri" w:cs="Times New Roman" w:asciiTheme="majorAscii" w:hAnsiTheme="majorAscii" w:cstheme="majorBidi"/>
          <w:sz w:val="28"/>
          <w:szCs w:val="28"/>
          <w:lang w:eastAsia="en-US"/>
        </w:rPr>
        <w:t xml:space="preserve"> έχουν </w:t>
      </w:r>
      <w:r w:rsidRPr="68557CEB" w:rsidR="288A9BAD">
        <w:rPr>
          <w:rFonts w:ascii="Calibri" w:hAnsi="Calibri" w:eastAsia="Calibri" w:cs="Times New Roman" w:asciiTheme="majorAscii" w:hAnsiTheme="majorAscii" w:cstheme="majorBidi"/>
          <w:sz w:val="28"/>
          <w:szCs w:val="28"/>
          <w:lang w:eastAsia="en-US"/>
        </w:rPr>
        <w:t xml:space="preserve"> επιστραφεί προς τις χώρες προέλευσης τους </w:t>
      </w:r>
      <w:r w:rsidRPr="68557CEB" w:rsidR="6D359F68">
        <w:rPr>
          <w:rFonts w:ascii="Calibri" w:hAnsi="Calibri" w:eastAsia="Calibri" w:cs="Times New Roman" w:asciiTheme="majorAscii" w:hAnsiTheme="majorAscii" w:cstheme="majorBidi"/>
          <w:sz w:val="28"/>
          <w:szCs w:val="28"/>
          <w:lang w:eastAsia="en-US"/>
        </w:rPr>
        <w:t xml:space="preserve">συνολικά </w:t>
      </w:r>
      <w:r w:rsidRPr="68557CEB" w:rsidR="288A9BAD">
        <w:rPr>
          <w:rFonts w:ascii="Calibri" w:hAnsi="Calibri" w:eastAsia="Calibri" w:cs="Times New Roman" w:asciiTheme="majorAscii" w:hAnsiTheme="majorAscii" w:cstheme="majorBidi"/>
          <w:b w:val="1"/>
          <w:bCs w:val="1"/>
          <w:sz w:val="28"/>
          <w:szCs w:val="28"/>
          <w:lang w:eastAsia="en-US"/>
        </w:rPr>
        <w:t>3.</w:t>
      </w:r>
      <w:r w:rsidRPr="68557CEB" w:rsidR="25B275F2">
        <w:rPr>
          <w:rFonts w:ascii="Calibri" w:hAnsi="Calibri" w:eastAsia="Calibri" w:cs="Times New Roman" w:asciiTheme="majorAscii" w:hAnsiTheme="majorAscii" w:cstheme="majorBidi"/>
          <w:b w:val="1"/>
          <w:bCs w:val="1"/>
          <w:sz w:val="28"/>
          <w:szCs w:val="28"/>
          <w:lang w:eastAsia="en-US"/>
        </w:rPr>
        <w:t>62</w:t>
      </w:r>
      <w:r w:rsidRPr="68557CEB" w:rsidR="2851F060">
        <w:rPr>
          <w:rFonts w:ascii="Calibri" w:hAnsi="Calibri" w:eastAsia="Calibri" w:cs="Times New Roman" w:asciiTheme="majorAscii" w:hAnsiTheme="majorAscii" w:cstheme="majorBidi"/>
          <w:b w:val="1"/>
          <w:bCs w:val="1"/>
          <w:sz w:val="28"/>
          <w:szCs w:val="28"/>
          <w:lang w:eastAsia="en-US"/>
        </w:rPr>
        <w:t>1</w:t>
      </w:r>
      <w:r w:rsidRPr="68557CEB" w:rsidR="2851F060">
        <w:rPr>
          <w:rFonts w:ascii="Calibri" w:hAnsi="Calibri" w:eastAsia="Calibri" w:cs="Times New Roman" w:asciiTheme="majorAscii" w:hAnsiTheme="majorAscii" w:cstheme="majorBidi"/>
          <w:b w:val="1"/>
          <w:bCs w:val="1"/>
          <w:color w:val="FF0000"/>
          <w:sz w:val="28"/>
          <w:szCs w:val="28"/>
          <w:lang w:eastAsia="en-US"/>
        </w:rPr>
        <w:t xml:space="preserve"> </w:t>
      </w:r>
      <w:r w:rsidRPr="68557CEB" w:rsidR="288A9BAD">
        <w:rPr>
          <w:rFonts w:ascii="Calibri" w:hAnsi="Calibri" w:eastAsia="Calibri" w:cs="Times New Roman" w:asciiTheme="majorAscii" w:hAnsiTheme="majorAscii" w:cstheme="majorBidi"/>
          <w:sz w:val="28"/>
          <w:szCs w:val="28"/>
          <w:lang w:eastAsia="en-US"/>
        </w:rPr>
        <w:t>άτομα</w:t>
      </w:r>
      <w:r w:rsidRPr="68557CEB" w:rsidR="78BBE77D">
        <w:rPr>
          <w:rFonts w:ascii="Calibri" w:hAnsi="Calibri" w:eastAsia="Calibri" w:cs="Times New Roman" w:asciiTheme="majorAscii" w:hAnsiTheme="majorAscii" w:cstheme="majorBidi"/>
          <w:sz w:val="28"/>
          <w:szCs w:val="28"/>
          <w:lang w:eastAsia="en-US"/>
        </w:rPr>
        <w:t xml:space="preserve">. </w:t>
      </w:r>
      <w:r w:rsidRPr="68557CEB" w:rsidR="288A9BAD">
        <w:rPr>
          <w:rFonts w:ascii="Calibri" w:hAnsi="Calibri" w:eastAsia="Calibri" w:cs="Times New Roman" w:asciiTheme="majorAscii" w:hAnsiTheme="majorAscii" w:cstheme="majorBidi"/>
          <w:sz w:val="28"/>
          <w:szCs w:val="28"/>
          <w:lang w:eastAsia="en-US"/>
        </w:rPr>
        <w:t xml:space="preserve"> </w:t>
      </w:r>
      <w:r w:rsidRPr="68557CEB" w:rsidR="54B5DD8B">
        <w:rPr>
          <w:rFonts w:ascii="Calibri" w:hAnsi="Calibri" w:eastAsia="Calibri" w:cs="Times New Roman" w:asciiTheme="majorAscii" w:hAnsiTheme="majorAscii" w:cstheme="majorBidi"/>
          <w:sz w:val="28"/>
          <w:szCs w:val="28"/>
          <w:lang w:eastAsia="en-US"/>
        </w:rPr>
        <w:t xml:space="preserve">Αναλυτικότερα, πραγματοποιήθηκαν </w:t>
      </w:r>
      <w:r w:rsidRPr="68557CEB" w:rsidR="2AA588E5">
        <w:rPr>
          <w:rFonts w:ascii="Calibri" w:hAnsi="Calibri" w:eastAsia="Calibri" w:cs="Times New Roman" w:asciiTheme="majorAscii" w:hAnsiTheme="majorAscii" w:cstheme="majorBidi"/>
          <w:b w:val="1"/>
          <w:bCs w:val="1"/>
          <w:sz w:val="28"/>
          <w:szCs w:val="28"/>
          <w:lang w:eastAsia="en-US"/>
        </w:rPr>
        <w:t>1.343</w:t>
      </w:r>
      <w:r w:rsidRPr="68557CEB" w:rsidR="2AA588E5">
        <w:rPr>
          <w:rFonts w:ascii="Calibri" w:hAnsi="Calibri" w:eastAsia="Calibri" w:cs="Times New Roman" w:asciiTheme="majorAscii" w:hAnsiTheme="majorAscii" w:cstheme="majorBidi"/>
          <w:sz w:val="28"/>
          <w:szCs w:val="28"/>
          <w:lang w:eastAsia="en-US"/>
        </w:rPr>
        <w:t xml:space="preserve"> αναγκαστικές  απελάσεις μεταναστών προς τρίτες χώρες</w:t>
      </w:r>
      <w:r w:rsidRPr="68557CEB" w:rsidR="7152EF87">
        <w:rPr>
          <w:rFonts w:ascii="Calibri" w:hAnsi="Calibri" w:eastAsia="Calibri" w:cs="Times New Roman" w:asciiTheme="majorAscii" w:hAnsiTheme="majorAscii" w:cstheme="majorBidi"/>
          <w:sz w:val="28"/>
          <w:szCs w:val="28"/>
          <w:lang w:eastAsia="en-US"/>
        </w:rPr>
        <w:t xml:space="preserve">. Επιπλέον, επεστράφησαν </w:t>
      </w:r>
      <w:r w:rsidRPr="68557CEB" w:rsidR="7152EF87">
        <w:rPr>
          <w:rFonts w:ascii="Calibri" w:hAnsi="Calibri" w:eastAsia="Calibri" w:cs="Times New Roman" w:asciiTheme="majorAscii" w:hAnsiTheme="majorAscii" w:cstheme="majorBidi"/>
          <w:b w:val="1"/>
          <w:bCs w:val="1"/>
          <w:sz w:val="28"/>
          <w:szCs w:val="28"/>
          <w:lang w:eastAsia="en-US"/>
        </w:rPr>
        <w:t xml:space="preserve">21 </w:t>
      </w:r>
      <w:r w:rsidRPr="68557CEB" w:rsidR="7152EF87">
        <w:rPr>
          <w:rFonts w:ascii="Calibri" w:hAnsi="Calibri" w:eastAsia="Calibri" w:cs="Times New Roman" w:asciiTheme="majorAscii" w:hAnsiTheme="majorAscii" w:cstheme="majorBidi"/>
          <w:sz w:val="28"/>
          <w:szCs w:val="28"/>
          <w:lang w:eastAsia="en-US"/>
        </w:rPr>
        <w:t>Τού</w:t>
      </w:r>
      <w:r w:rsidRPr="68557CEB" w:rsidR="6D7CC212">
        <w:rPr>
          <w:rFonts w:ascii="Calibri" w:hAnsi="Calibri" w:eastAsia="Calibri" w:cs="Times New Roman" w:asciiTheme="majorAscii" w:hAnsiTheme="majorAscii" w:cstheme="majorBidi"/>
          <w:sz w:val="28"/>
          <w:szCs w:val="28"/>
          <w:lang w:eastAsia="en-US"/>
        </w:rPr>
        <w:t xml:space="preserve">ρκοι υπήκοοι, </w:t>
      </w:r>
      <w:r w:rsidRPr="68557CEB" w:rsidR="2AA588E5">
        <w:rPr>
          <w:rFonts w:ascii="Calibri" w:hAnsi="Calibri" w:eastAsia="Calibri" w:cs="Times New Roman" w:asciiTheme="majorAscii" w:hAnsiTheme="majorAscii" w:cstheme="majorBidi"/>
          <w:sz w:val="28"/>
          <w:szCs w:val="28"/>
          <w:lang w:eastAsia="en-US"/>
        </w:rPr>
        <w:t xml:space="preserve">βάσει του </w:t>
      </w:r>
      <w:proofErr w:type="spellStart"/>
      <w:r w:rsidRPr="68557CEB" w:rsidR="2AA588E5">
        <w:rPr>
          <w:rFonts w:ascii="Calibri" w:hAnsi="Calibri" w:eastAsia="Calibri" w:cs="Times New Roman" w:asciiTheme="majorAscii" w:hAnsiTheme="majorAscii" w:cstheme="majorBidi"/>
          <w:sz w:val="28"/>
          <w:szCs w:val="28"/>
          <w:lang w:eastAsia="en-US"/>
        </w:rPr>
        <w:t>Ελληνο</w:t>
      </w:r>
      <w:proofErr w:type="spellEnd"/>
      <w:r w:rsidRPr="68557CEB" w:rsidR="2AA588E5">
        <w:rPr>
          <w:rFonts w:ascii="Calibri" w:hAnsi="Calibri" w:eastAsia="Calibri" w:cs="Times New Roman" w:asciiTheme="majorAscii" w:hAnsiTheme="majorAscii" w:cstheme="majorBidi"/>
          <w:sz w:val="28"/>
          <w:szCs w:val="28"/>
          <w:lang w:eastAsia="en-US"/>
        </w:rPr>
        <w:t xml:space="preserve">-Τουρκικού Πρωτόκολλου </w:t>
      </w:r>
      <w:proofErr w:type="spellStart"/>
      <w:r w:rsidRPr="68557CEB" w:rsidR="2AA588E5">
        <w:rPr>
          <w:rFonts w:ascii="Calibri" w:hAnsi="Calibri" w:eastAsia="Calibri" w:cs="Times New Roman" w:asciiTheme="majorAscii" w:hAnsiTheme="majorAscii" w:cstheme="majorBidi"/>
          <w:sz w:val="28"/>
          <w:szCs w:val="28"/>
          <w:lang w:eastAsia="en-US"/>
        </w:rPr>
        <w:t>Επανεισδοχής</w:t>
      </w:r>
      <w:proofErr w:type="spellEnd"/>
      <w:r w:rsidRPr="68557CEB" w:rsidR="2AA588E5">
        <w:rPr>
          <w:rFonts w:ascii="Calibri" w:hAnsi="Calibri" w:eastAsia="Calibri" w:cs="Times New Roman" w:asciiTheme="majorAscii" w:hAnsiTheme="majorAscii" w:cstheme="majorBidi"/>
          <w:sz w:val="28"/>
          <w:szCs w:val="28"/>
          <w:lang w:eastAsia="en-US"/>
        </w:rPr>
        <w:t xml:space="preserve"> και</w:t>
      </w:r>
      <w:r w:rsidRPr="68557CEB" w:rsidR="073B4DF9">
        <w:rPr>
          <w:rFonts w:ascii="Calibri" w:hAnsi="Calibri" w:eastAsia="Calibri" w:cs="Times New Roman" w:asciiTheme="majorAscii" w:hAnsiTheme="majorAscii" w:cstheme="majorBidi"/>
          <w:sz w:val="28"/>
          <w:szCs w:val="28"/>
          <w:lang w:eastAsia="en-US"/>
        </w:rPr>
        <w:t xml:space="preserve"> της Συμφωνίας </w:t>
      </w:r>
      <w:proofErr w:type="spellStart"/>
      <w:r w:rsidRPr="68557CEB" w:rsidR="073B4DF9">
        <w:rPr>
          <w:rFonts w:ascii="Calibri" w:hAnsi="Calibri" w:eastAsia="Calibri" w:cs="Times New Roman" w:asciiTheme="majorAscii" w:hAnsiTheme="majorAscii" w:cstheme="majorBidi"/>
          <w:sz w:val="28"/>
          <w:szCs w:val="28"/>
          <w:lang w:eastAsia="en-US"/>
        </w:rPr>
        <w:t>Επανεισδοχής</w:t>
      </w:r>
      <w:proofErr w:type="spellEnd"/>
      <w:r w:rsidRPr="68557CEB" w:rsidR="073B4DF9">
        <w:rPr>
          <w:rFonts w:ascii="Calibri" w:hAnsi="Calibri" w:eastAsia="Calibri" w:cs="Times New Roman" w:asciiTheme="majorAscii" w:hAnsiTheme="majorAscii" w:cstheme="majorBidi"/>
          <w:sz w:val="28"/>
          <w:szCs w:val="28"/>
          <w:lang w:eastAsia="en-US"/>
        </w:rPr>
        <w:t xml:space="preserve"> Ε.Ε.-Τουρκίας</w:t>
      </w:r>
      <w:r w:rsidRPr="68557CEB" w:rsidR="520C5215">
        <w:rPr>
          <w:rFonts w:ascii="Calibri" w:hAnsi="Calibri" w:eastAsia="Calibri" w:cs="Times New Roman" w:asciiTheme="majorAscii" w:hAnsiTheme="majorAscii" w:cstheme="majorBidi"/>
          <w:sz w:val="28"/>
          <w:szCs w:val="28"/>
          <w:lang w:eastAsia="en-US"/>
        </w:rPr>
        <w:t>, ενώ</w:t>
      </w:r>
      <w:r w:rsidRPr="68557CEB" w:rsidR="046DBF22">
        <w:rPr>
          <w:rFonts w:ascii="Calibri" w:hAnsi="Calibri" w:eastAsia="Calibri" w:cs="Times New Roman" w:asciiTheme="majorAscii" w:hAnsiTheme="majorAscii" w:cstheme="majorBidi"/>
          <w:sz w:val="28"/>
          <w:szCs w:val="28"/>
          <w:lang w:eastAsia="en-US"/>
        </w:rPr>
        <w:t xml:space="preserve"> </w:t>
      </w:r>
      <w:r w:rsidRPr="68557CEB" w:rsidR="520C5215">
        <w:rPr>
          <w:rFonts w:ascii="Calibri" w:hAnsi="Calibri" w:eastAsia="Calibri" w:cs="Times New Roman" w:asciiTheme="majorAscii" w:hAnsiTheme="majorAscii" w:cstheme="majorBidi"/>
          <w:sz w:val="28"/>
          <w:szCs w:val="28"/>
          <w:lang w:eastAsia="en-US"/>
        </w:rPr>
        <w:t xml:space="preserve"> </w:t>
      </w:r>
      <w:r w:rsidRPr="68557CEB" w:rsidR="520C5215">
        <w:rPr>
          <w:rFonts w:ascii="Calibri" w:hAnsi="Calibri" w:eastAsia="Calibri" w:cs="Times New Roman" w:asciiTheme="majorAscii" w:hAnsiTheme="majorAscii" w:cstheme="majorBidi"/>
          <w:b w:val="1"/>
          <w:bCs w:val="1"/>
          <w:sz w:val="28"/>
          <w:szCs w:val="28"/>
          <w:lang w:eastAsia="en-US"/>
        </w:rPr>
        <w:t xml:space="preserve">139 </w:t>
      </w:r>
      <w:r w:rsidRPr="68557CEB" w:rsidR="02B53693">
        <w:rPr>
          <w:rFonts w:ascii="Calibri" w:hAnsi="Calibri" w:eastAsia="Calibri" w:cs="Times New Roman" w:asciiTheme="majorAscii" w:hAnsiTheme="majorAscii" w:cstheme="majorBidi"/>
          <w:sz w:val="28"/>
          <w:szCs w:val="28"/>
          <w:lang w:eastAsia="en-US"/>
        </w:rPr>
        <w:t>μετανάστες</w:t>
      </w:r>
      <w:r w:rsidRPr="68557CEB" w:rsidR="520C5215">
        <w:rPr>
          <w:rFonts w:ascii="Calibri" w:hAnsi="Calibri" w:eastAsia="Calibri" w:cs="Times New Roman" w:asciiTheme="majorAscii" w:hAnsiTheme="majorAscii" w:cstheme="majorBidi"/>
          <w:sz w:val="28"/>
          <w:szCs w:val="28"/>
          <w:lang w:eastAsia="en-US"/>
        </w:rPr>
        <w:t xml:space="preserve"> επεστράφησαν με βάση την Κοινή </w:t>
      </w:r>
      <w:r w:rsidRPr="68557CEB" w:rsidR="5AD74E3A">
        <w:rPr>
          <w:rFonts w:ascii="Calibri" w:hAnsi="Calibri" w:eastAsia="Calibri" w:cs="Times New Roman" w:asciiTheme="majorAscii" w:hAnsiTheme="majorAscii" w:cstheme="majorBidi"/>
          <w:sz w:val="28"/>
          <w:szCs w:val="28"/>
          <w:lang w:eastAsia="en-US"/>
        </w:rPr>
        <w:t xml:space="preserve">Δήλωση Ε.Ε.-Τουρκίας στη γείτονα χώρα. </w:t>
      </w:r>
    </w:p>
    <w:p w:rsidR="0CD7DD2D" w:rsidP="68557CEB" w:rsidRDefault="326853C1" w14:paraId="33A04E27" w14:textId="147807F6">
      <w:pPr>
        <w:spacing w:after="160" w:line="259" w:lineRule="auto"/>
        <w:jc w:val="both"/>
        <w:rPr>
          <w:rFonts w:ascii="Calibri" w:hAnsi="Calibri" w:eastAsia="Calibri" w:cs="Times New Roman" w:asciiTheme="majorAscii" w:hAnsiTheme="majorAscii" w:cstheme="majorBidi"/>
          <w:sz w:val="28"/>
          <w:szCs w:val="28"/>
          <w:lang w:eastAsia="en-US"/>
        </w:rPr>
      </w:pPr>
      <w:r w:rsidRPr="68557CEB" w:rsidR="500C35BA">
        <w:rPr>
          <w:rFonts w:ascii="Calibri" w:hAnsi="Calibri" w:eastAsia="Calibri" w:cs="Times New Roman" w:asciiTheme="majorAscii" w:hAnsiTheme="majorAscii" w:cstheme="majorBidi"/>
          <w:sz w:val="28"/>
          <w:szCs w:val="28"/>
          <w:lang w:eastAsia="en-US"/>
        </w:rPr>
        <w:t>Επίσης</w:t>
      </w:r>
      <w:r w:rsidRPr="68557CEB" w:rsidR="326853C1">
        <w:rPr>
          <w:rFonts w:ascii="Calibri" w:hAnsi="Calibri" w:eastAsia="Calibri" w:cs="Times New Roman" w:asciiTheme="majorAscii" w:hAnsiTheme="majorAscii" w:cstheme="majorBidi"/>
          <w:sz w:val="28"/>
          <w:szCs w:val="28"/>
          <w:lang w:eastAsia="en-US"/>
        </w:rPr>
        <w:t xml:space="preserve">, </w:t>
      </w:r>
      <w:r w:rsidRPr="68557CEB" w:rsidR="5FB3DEDF">
        <w:rPr>
          <w:rFonts w:ascii="Calibri" w:hAnsi="Calibri" w:eastAsia="Calibri" w:cs="Times New Roman" w:asciiTheme="majorAscii" w:hAnsiTheme="majorAscii" w:cstheme="majorBidi"/>
          <w:sz w:val="28"/>
          <w:szCs w:val="28"/>
          <w:lang w:eastAsia="en-US"/>
        </w:rPr>
        <w:t xml:space="preserve">κατεγράφησαν συνολικά </w:t>
      </w:r>
      <w:r w:rsidRPr="68557CEB" w:rsidR="5FB3DEDF">
        <w:rPr>
          <w:rFonts w:ascii="Calibri" w:hAnsi="Calibri" w:eastAsia="Calibri" w:cs="Times New Roman" w:asciiTheme="majorAscii" w:hAnsiTheme="majorAscii" w:cstheme="majorBidi"/>
          <w:b w:val="1"/>
          <w:bCs w:val="1"/>
          <w:sz w:val="28"/>
          <w:szCs w:val="28"/>
          <w:lang w:eastAsia="en-US"/>
        </w:rPr>
        <w:t xml:space="preserve">420 </w:t>
      </w:r>
      <w:r w:rsidRPr="68557CEB" w:rsidR="5FB3DEDF">
        <w:rPr>
          <w:rFonts w:ascii="Calibri" w:hAnsi="Calibri" w:eastAsia="Calibri" w:cs="Times New Roman" w:asciiTheme="majorAscii" w:hAnsiTheme="majorAscii" w:cstheme="majorBidi"/>
          <w:sz w:val="28"/>
          <w:szCs w:val="28"/>
          <w:lang w:eastAsia="en-US"/>
        </w:rPr>
        <w:t xml:space="preserve">οικειοθελείς αναχωρήσεις μεταναστών προς τις χώρες προέλευσης τους. </w:t>
      </w:r>
      <w:r w:rsidRPr="68557CEB" w:rsidR="760F9B46">
        <w:rPr>
          <w:rFonts w:ascii="Calibri" w:hAnsi="Calibri" w:eastAsia="Calibri" w:cs="Times New Roman" w:asciiTheme="majorAscii" w:hAnsiTheme="majorAscii" w:cstheme="majorBidi"/>
          <w:sz w:val="28"/>
          <w:szCs w:val="28"/>
          <w:lang w:eastAsia="en-US"/>
        </w:rPr>
        <w:t xml:space="preserve">Συμπληρωματικά, επεστράφησαν -μέσω Διεθνούς Οργανισμού Μετανάστευσης- στις χώρες καταγωγής τους οικειοθελώς </w:t>
      </w:r>
      <w:r w:rsidRPr="68557CEB" w:rsidR="760F9B46">
        <w:rPr>
          <w:rFonts w:ascii="Calibri" w:hAnsi="Calibri" w:eastAsia="Calibri" w:cs="Times New Roman" w:asciiTheme="majorAscii" w:hAnsiTheme="majorAscii" w:cstheme="majorBidi"/>
          <w:b w:val="1"/>
          <w:bCs w:val="1"/>
          <w:sz w:val="28"/>
          <w:szCs w:val="28"/>
          <w:lang w:eastAsia="en-US"/>
        </w:rPr>
        <w:t>9</w:t>
      </w:r>
      <w:r w:rsidRPr="68557CEB" w:rsidR="6CDB024C">
        <w:rPr>
          <w:rFonts w:ascii="Calibri" w:hAnsi="Calibri" w:eastAsia="Calibri" w:cs="Times New Roman" w:asciiTheme="majorAscii" w:hAnsiTheme="majorAscii" w:cstheme="majorBidi"/>
          <w:b w:val="1"/>
          <w:bCs w:val="1"/>
          <w:sz w:val="28"/>
          <w:szCs w:val="28"/>
          <w:lang w:eastAsia="en-US"/>
        </w:rPr>
        <w:t>4</w:t>
      </w:r>
      <w:r w:rsidRPr="68557CEB" w:rsidR="760F9B46">
        <w:rPr>
          <w:rFonts w:ascii="Calibri" w:hAnsi="Calibri" w:eastAsia="Calibri" w:cs="Times New Roman" w:asciiTheme="majorAscii" w:hAnsiTheme="majorAscii" w:cstheme="majorBidi"/>
          <w:b w:val="1"/>
          <w:bCs w:val="1"/>
          <w:sz w:val="28"/>
          <w:szCs w:val="28"/>
          <w:lang w:eastAsia="en-US"/>
        </w:rPr>
        <w:t xml:space="preserve">8 </w:t>
      </w:r>
      <w:r w:rsidRPr="68557CEB" w:rsidR="760F9B46">
        <w:rPr>
          <w:rFonts w:ascii="Calibri" w:hAnsi="Calibri" w:eastAsia="Calibri" w:cs="Times New Roman" w:asciiTheme="majorAscii" w:hAnsiTheme="majorAscii" w:cstheme="majorBidi"/>
          <w:sz w:val="28"/>
          <w:szCs w:val="28"/>
          <w:lang w:eastAsia="en-US"/>
        </w:rPr>
        <w:t xml:space="preserve">αλλοδαποί υπήκοοι τρίτων χωρών. Επιπροσθέτως, </w:t>
      </w:r>
      <w:r w:rsidRPr="68557CEB" w:rsidR="4275E285">
        <w:rPr>
          <w:rFonts w:ascii="Calibri" w:hAnsi="Calibri" w:eastAsia="Calibri" w:cs="Times New Roman" w:asciiTheme="majorAscii" w:hAnsiTheme="majorAscii" w:cstheme="majorBidi"/>
          <w:sz w:val="28"/>
          <w:szCs w:val="28"/>
          <w:lang w:eastAsia="en-US"/>
        </w:rPr>
        <w:t xml:space="preserve">έχουν πραγματοποιηθεί </w:t>
      </w:r>
      <w:r w:rsidRPr="68557CEB" w:rsidR="2FA4C1A5">
        <w:rPr>
          <w:rFonts w:ascii="Calibri" w:hAnsi="Calibri" w:eastAsia="Calibri" w:cs="Times New Roman" w:asciiTheme="majorAscii" w:hAnsiTheme="majorAscii" w:cstheme="majorBidi"/>
          <w:b w:val="1"/>
          <w:bCs w:val="1"/>
          <w:sz w:val="28"/>
          <w:szCs w:val="28"/>
          <w:lang w:eastAsia="en-US"/>
        </w:rPr>
        <w:t>6</w:t>
      </w:r>
      <w:r w:rsidRPr="68557CEB" w:rsidR="5FB10052">
        <w:rPr>
          <w:rFonts w:ascii="Calibri" w:hAnsi="Calibri" w:eastAsia="Calibri" w:cs="Times New Roman" w:asciiTheme="majorAscii" w:hAnsiTheme="majorAscii" w:cstheme="majorBidi"/>
          <w:b w:val="1"/>
          <w:bCs w:val="1"/>
          <w:sz w:val="28"/>
          <w:szCs w:val="28"/>
          <w:lang w:eastAsia="en-US"/>
        </w:rPr>
        <w:t xml:space="preserve">77 </w:t>
      </w:r>
      <w:r w:rsidRPr="68557CEB" w:rsidR="5FB10052">
        <w:rPr>
          <w:rFonts w:ascii="Calibri" w:hAnsi="Calibri" w:eastAsia="Calibri" w:cs="Times New Roman" w:asciiTheme="majorAscii" w:hAnsiTheme="majorAscii" w:cstheme="majorBidi"/>
          <w:sz w:val="28"/>
          <w:szCs w:val="28"/>
          <w:lang w:eastAsia="en-US"/>
        </w:rPr>
        <w:t xml:space="preserve">μεταφορές, βάσει του </w:t>
      </w:r>
      <w:r w:rsidRPr="68557CEB" w:rsidR="5FB10052">
        <w:rPr>
          <w:rFonts w:ascii="Calibri" w:hAnsi="Calibri" w:eastAsia="Calibri" w:cs="Times New Roman" w:asciiTheme="majorAscii" w:hAnsiTheme="majorAscii" w:cstheme="majorBidi"/>
          <w:sz w:val="28"/>
          <w:szCs w:val="28"/>
          <w:lang w:eastAsia="en-US"/>
        </w:rPr>
        <w:t xml:space="preserve">Κανονισμού του Δουβλίνου, </w:t>
      </w:r>
      <w:r w:rsidRPr="68557CEB" w:rsidR="5FB10052">
        <w:rPr>
          <w:rFonts w:ascii="Calibri" w:hAnsi="Calibri" w:eastAsia="Calibri" w:cs="Times New Roman" w:asciiTheme="majorAscii" w:hAnsiTheme="majorAscii" w:cstheme="majorBidi"/>
          <w:b w:val="1"/>
          <w:bCs w:val="1"/>
          <w:sz w:val="28"/>
          <w:szCs w:val="28"/>
          <w:lang w:eastAsia="en-US"/>
        </w:rPr>
        <w:t xml:space="preserve">68 </w:t>
      </w:r>
      <w:r w:rsidRPr="68557CEB" w:rsidR="5FB10052">
        <w:rPr>
          <w:rFonts w:ascii="Calibri" w:hAnsi="Calibri" w:eastAsia="Calibri" w:cs="Times New Roman" w:asciiTheme="majorAscii" w:hAnsiTheme="majorAscii" w:cstheme="majorBidi"/>
          <w:sz w:val="28"/>
          <w:szCs w:val="28"/>
          <w:lang w:eastAsia="en-US"/>
        </w:rPr>
        <w:t xml:space="preserve">εκ των οποίων αφορούν </w:t>
      </w:r>
      <w:r w:rsidRPr="68557CEB" w:rsidR="2046BC3F">
        <w:rPr>
          <w:rFonts w:ascii="Calibri" w:hAnsi="Calibri" w:eastAsia="Calibri" w:cs="Times New Roman" w:asciiTheme="majorAscii" w:hAnsiTheme="majorAscii" w:cstheme="majorBidi"/>
          <w:sz w:val="28"/>
          <w:szCs w:val="28"/>
          <w:lang w:eastAsia="en-US"/>
        </w:rPr>
        <w:t xml:space="preserve">υλοποίηση </w:t>
      </w:r>
      <w:r w:rsidRPr="68557CEB" w:rsidR="5FB10052">
        <w:rPr>
          <w:rFonts w:ascii="Calibri" w:hAnsi="Calibri" w:eastAsia="Calibri" w:cs="Times New Roman" w:asciiTheme="majorAscii" w:hAnsiTheme="majorAscii" w:cstheme="majorBidi"/>
          <w:sz w:val="28"/>
          <w:szCs w:val="28"/>
          <w:lang w:eastAsia="en-US"/>
        </w:rPr>
        <w:t>α</w:t>
      </w:r>
      <w:r w:rsidRPr="68557CEB" w:rsidR="4CBD3B67">
        <w:rPr>
          <w:rFonts w:ascii="Calibri" w:hAnsi="Calibri" w:eastAsia="Calibri" w:cs="Times New Roman" w:asciiTheme="majorAscii" w:hAnsiTheme="majorAscii" w:cstheme="majorBidi"/>
          <w:sz w:val="28"/>
          <w:szCs w:val="28"/>
          <w:lang w:eastAsia="en-US"/>
        </w:rPr>
        <w:t xml:space="preserve">ιτημάτων </w:t>
      </w:r>
      <w:r w:rsidRPr="68557CEB" w:rsidR="5FB10052">
        <w:rPr>
          <w:rFonts w:ascii="Calibri" w:hAnsi="Calibri" w:eastAsia="Calibri" w:cs="Times New Roman" w:asciiTheme="majorAscii" w:hAnsiTheme="majorAscii" w:cstheme="majorBidi"/>
          <w:sz w:val="28"/>
          <w:szCs w:val="28"/>
          <w:lang w:eastAsia="en-US"/>
        </w:rPr>
        <w:t xml:space="preserve">οικογενειακής επανένωσης ασυνόδευτων ανηλίκων. </w:t>
      </w:r>
      <w:r w:rsidRPr="68557CEB" w:rsidR="002C4316">
        <w:rPr>
          <w:rFonts w:ascii="Calibri" w:hAnsi="Calibri" w:eastAsia="Calibri" w:cs="Times New Roman" w:asciiTheme="majorAscii" w:hAnsiTheme="majorAscii" w:cstheme="majorBidi"/>
          <w:sz w:val="28"/>
          <w:szCs w:val="28"/>
          <w:lang w:eastAsia="en-US"/>
        </w:rPr>
        <w:t xml:space="preserve">Τέλος, έχουν λάβει ήδη χώρα </w:t>
      </w:r>
      <w:r w:rsidRPr="68557CEB" w:rsidR="02FDA587">
        <w:rPr>
          <w:rFonts w:ascii="Calibri" w:hAnsi="Calibri" w:eastAsia="Calibri" w:cs="Times New Roman" w:asciiTheme="majorAscii" w:hAnsiTheme="majorAscii" w:cstheme="majorBidi"/>
          <w:b w:val="1"/>
          <w:bCs w:val="1"/>
          <w:sz w:val="28"/>
          <w:szCs w:val="28"/>
          <w:lang w:eastAsia="en-US"/>
        </w:rPr>
        <w:t xml:space="preserve">73 </w:t>
      </w:r>
      <w:r w:rsidRPr="68557CEB" w:rsidR="002C4316">
        <w:rPr>
          <w:rFonts w:ascii="Calibri" w:hAnsi="Calibri" w:eastAsia="Calibri" w:cs="Times New Roman" w:asciiTheme="majorAscii" w:hAnsiTheme="majorAscii" w:cstheme="majorBidi"/>
          <w:sz w:val="28"/>
          <w:szCs w:val="28"/>
          <w:lang w:eastAsia="en-US"/>
        </w:rPr>
        <w:t xml:space="preserve">μετεγκαταστάσεις ασυνόδευτων ανηλίκων προς κράτη-μέλη της Ε.Ε. </w:t>
      </w:r>
    </w:p>
    <w:p w:rsidRPr="0026054C" w:rsidR="00577402" w:rsidP="3AA1E870" w:rsidRDefault="288A9BAD" w14:paraId="22E7BFC0" w14:textId="61244F2D">
      <w:pPr>
        <w:spacing w:after="160" w:line="259" w:lineRule="auto"/>
        <w:jc w:val="both"/>
        <w:rPr>
          <w:rFonts w:eastAsia="Calibri" w:asciiTheme="majorHAnsi" w:hAnsiTheme="majorHAnsi" w:cstheme="majorBidi"/>
          <w:sz w:val="28"/>
          <w:szCs w:val="28"/>
          <w:lang w:eastAsia="en-US"/>
        </w:rPr>
      </w:pPr>
      <w:r w:rsidRPr="3AA1E870">
        <w:rPr>
          <w:rFonts w:eastAsia="Calibri" w:asciiTheme="majorHAnsi" w:hAnsiTheme="majorHAnsi" w:cstheme="majorBidi"/>
          <w:sz w:val="28"/>
          <w:szCs w:val="28"/>
          <w:lang w:eastAsia="en-US"/>
        </w:rPr>
        <w:t>Επισημαίνεται ότι οι περιορισμοί εισόδου και εξόδου στα σύνορα Ελλάδας-Τουρκίας, εφαρμόστηκαν καθ’ όλη τη διάρκεια των μηνών Μαρτίου, Απριλίου, Μαΐου και Ιουνίου. Η τελευταία αποστολή επιστροφών πραγματοποιήθηκε στις 05/03/2020. Τέλος, οι ίδιοι περιορισμοί ίσχυσαν, από τις 18/03/2020 έως και τις 18/04/2020 μεταξύ των κρατών μελών της Ευρωπαϊκής Ένωσης και τρίτων χωρών. Η παύση λειτουργίας ελληνικών και ευρωπαϊκών συνόρων, στο πλαίσιο των μέτρων προστασίας απέναντι στην εξάπλωση του Covid-19/</w:t>
      </w:r>
      <w:proofErr w:type="spellStart"/>
      <w:r w:rsidRPr="3AA1E870">
        <w:rPr>
          <w:rFonts w:eastAsia="Calibri" w:asciiTheme="majorHAnsi" w:hAnsiTheme="majorHAnsi" w:cstheme="majorBidi"/>
          <w:sz w:val="28"/>
          <w:szCs w:val="28"/>
          <w:lang w:eastAsia="en-US"/>
        </w:rPr>
        <w:t>κορωνοϊού</w:t>
      </w:r>
      <w:proofErr w:type="spellEnd"/>
      <w:r w:rsidRPr="3AA1E870">
        <w:rPr>
          <w:rFonts w:eastAsia="Calibri" w:asciiTheme="majorHAnsi" w:hAnsiTheme="majorHAnsi" w:cstheme="majorBidi"/>
          <w:sz w:val="28"/>
          <w:szCs w:val="28"/>
          <w:lang w:eastAsia="en-US"/>
        </w:rPr>
        <w:t>, κατέστησε, όπως είναι λογικό, ανέφικτες τις μ</w:t>
      </w:r>
      <w:r w:rsidRPr="3AA1E870" w:rsidR="0F56AB2F">
        <w:rPr>
          <w:rFonts w:eastAsia="Calibri" w:asciiTheme="majorHAnsi" w:hAnsiTheme="majorHAnsi" w:cstheme="majorBidi"/>
          <w:sz w:val="28"/>
          <w:szCs w:val="28"/>
          <w:lang w:eastAsia="en-US"/>
        </w:rPr>
        <w:t>εταφορές</w:t>
      </w:r>
      <w:r w:rsidRPr="3AA1E870">
        <w:rPr>
          <w:rFonts w:eastAsia="Calibri" w:asciiTheme="majorHAnsi" w:hAnsiTheme="majorHAnsi" w:cstheme="majorBidi"/>
          <w:sz w:val="28"/>
          <w:szCs w:val="28"/>
          <w:lang w:eastAsia="en-US"/>
        </w:rPr>
        <w:t xml:space="preserve">, επιστροφές και απελάσεις μεταναστών για το </w:t>
      </w:r>
      <w:r w:rsidRPr="3AA1E870" w:rsidR="6116149A">
        <w:rPr>
          <w:rFonts w:eastAsia="Calibri" w:asciiTheme="majorHAnsi" w:hAnsiTheme="majorHAnsi" w:cstheme="majorBidi"/>
          <w:sz w:val="28"/>
          <w:szCs w:val="28"/>
          <w:lang w:eastAsia="en-US"/>
        </w:rPr>
        <w:t>προαναφερθέν</w:t>
      </w:r>
      <w:r w:rsidRPr="3AA1E870">
        <w:rPr>
          <w:rFonts w:eastAsia="Calibri" w:asciiTheme="majorHAnsi" w:hAnsiTheme="majorHAnsi" w:cstheme="majorBidi"/>
          <w:sz w:val="28"/>
          <w:szCs w:val="28"/>
          <w:lang w:eastAsia="en-US"/>
        </w:rPr>
        <w:t xml:space="preserve"> χρονικό διάστημα.</w:t>
      </w:r>
    </w:p>
    <w:p w:rsidR="163AF374" w:rsidP="163AF374" w:rsidRDefault="163AF374" w14:paraId="64549D02" w14:textId="29DE6A6E">
      <w:pPr>
        <w:spacing w:after="160" w:line="259" w:lineRule="auto"/>
        <w:jc w:val="both"/>
        <w:rPr>
          <w:rFonts w:eastAsia="Calibri" w:asciiTheme="majorHAnsi" w:hAnsiTheme="majorHAnsi" w:cstheme="majorBidi"/>
          <w:sz w:val="28"/>
          <w:szCs w:val="28"/>
          <w:lang w:eastAsia="en-US"/>
        </w:rPr>
      </w:pPr>
    </w:p>
    <w:p w:rsidRPr="0026054C" w:rsidR="003657C0" w:rsidP="3CBD2259" w:rsidRDefault="003657C0" w14:paraId="2FB3F804" w14:textId="77777777">
      <w:pPr>
        <w:spacing w:after="160" w:line="259" w:lineRule="auto"/>
        <w:jc w:val="both"/>
        <w:rPr>
          <w:rFonts w:eastAsia="Calibri" w:asciiTheme="majorHAnsi" w:hAnsiTheme="majorHAnsi" w:cstheme="majorBidi"/>
          <w:b/>
          <w:sz w:val="28"/>
          <w:szCs w:val="28"/>
          <w:lang w:eastAsia="en-US"/>
        </w:rPr>
      </w:pPr>
      <w:r w:rsidRPr="3CBD2259">
        <w:rPr>
          <w:rFonts w:eastAsia="Calibri" w:asciiTheme="majorHAnsi" w:hAnsiTheme="majorHAnsi" w:cstheme="majorBidi"/>
          <w:b/>
          <w:sz w:val="28"/>
          <w:szCs w:val="28"/>
          <w:lang w:eastAsia="en-US"/>
        </w:rPr>
        <w:t xml:space="preserve">Γενικά Συμπεράσματα: </w:t>
      </w:r>
    </w:p>
    <w:p w:rsidRPr="0026054C" w:rsidR="003657C0" w:rsidP="3AA1E870" w:rsidRDefault="288A9BAD" w14:paraId="263E82CA" w14:textId="27F423B2">
      <w:pPr>
        <w:numPr>
          <w:ilvl w:val="0"/>
          <w:numId w:val="1"/>
        </w:numPr>
        <w:spacing w:after="160" w:line="259" w:lineRule="auto"/>
        <w:contextualSpacing/>
        <w:jc w:val="both"/>
        <w:rPr>
          <w:rFonts w:eastAsia="MS Mincho" w:asciiTheme="majorHAnsi" w:hAnsiTheme="majorHAnsi" w:cstheme="majorBidi"/>
          <w:b/>
          <w:bCs/>
          <w:sz w:val="28"/>
          <w:szCs w:val="28"/>
          <w:lang w:eastAsia="en-US"/>
        </w:rPr>
      </w:pPr>
      <w:r w:rsidRPr="3AA1E870">
        <w:rPr>
          <w:rFonts w:eastAsia="Calibri" w:asciiTheme="majorHAnsi" w:hAnsiTheme="majorHAnsi" w:cstheme="majorBidi"/>
          <w:b/>
          <w:bCs/>
          <w:sz w:val="28"/>
          <w:szCs w:val="28"/>
          <w:lang w:eastAsia="en-US"/>
        </w:rPr>
        <w:t xml:space="preserve">Φέτος, επεστράφησαν στις χώρες προέλευσης τους ή </w:t>
      </w:r>
      <w:proofErr w:type="spellStart"/>
      <w:r w:rsidRPr="3AA1E870">
        <w:rPr>
          <w:rFonts w:eastAsia="Calibri" w:asciiTheme="majorHAnsi" w:hAnsiTheme="majorHAnsi" w:cstheme="majorBidi"/>
          <w:b/>
          <w:bCs/>
          <w:sz w:val="28"/>
          <w:szCs w:val="28"/>
          <w:lang w:eastAsia="en-US"/>
        </w:rPr>
        <w:t>μετεγκαταστάθηκαν</w:t>
      </w:r>
      <w:proofErr w:type="spellEnd"/>
      <w:r w:rsidRPr="3AA1E870">
        <w:rPr>
          <w:rFonts w:eastAsia="Calibri" w:asciiTheme="majorHAnsi" w:hAnsiTheme="majorHAnsi" w:cstheme="majorBidi"/>
          <w:b/>
          <w:bCs/>
          <w:sz w:val="28"/>
          <w:szCs w:val="28"/>
          <w:lang w:eastAsia="en-US"/>
        </w:rPr>
        <w:t xml:space="preserve"> σε κράτη-μέλη της Ε.Ε. συνολικά 3.</w:t>
      </w:r>
      <w:r w:rsidRPr="3AA1E870" w:rsidR="54487323">
        <w:rPr>
          <w:rFonts w:eastAsia="Calibri" w:asciiTheme="majorHAnsi" w:hAnsiTheme="majorHAnsi" w:cstheme="majorBidi"/>
          <w:b/>
          <w:bCs/>
          <w:sz w:val="28"/>
          <w:szCs w:val="28"/>
          <w:lang w:eastAsia="en-US"/>
        </w:rPr>
        <w:t>59</w:t>
      </w:r>
      <w:r w:rsidRPr="3AA1E870" w:rsidR="02420E9F">
        <w:rPr>
          <w:rFonts w:eastAsia="Calibri" w:asciiTheme="majorHAnsi" w:hAnsiTheme="majorHAnsi" w:cstheme="majorBidi"/>
          <w:b/>
          <w:bCs/>
          <w:sz w:val="28"/>
          <w:szCs w:val="28"/>
          <w:lang w:eastAsia="en-US"/>
        </w:rPr>
        <w:t>1</w:t>
      </w:r>
      <w:r w:rsidRPr="3AA1E870">
        <w:rPr>
          <w:rFonts w:eastAsia="Calibri" w:asciiTheme="majorHAnsi" w:hAnsiTheme="majorHAnsi" w:cstheme="majorBidi"/>
          <w:b/>
          <w:bCs/>
          <w:sz w:val="28"/>
          <w:szCs w:val="28"/>
          <w:lang w:eastAsia="en-US"/>
        </w:rPr>
        <w:t xml:space="preserve"> άτομα. Ο αριθμός επιστροφών αποτελεί ποσοστό 3</w:t>
      </w:r>
      <w:r w:rsidRPr="3AA1E870" w:rsidR="32831BB3">
        <w:rPr>
          <w:rFonts w:eastAsia="Calibri" w:asciiTheme="majorHAnsi" w:hAnsiTheme="majorHAnsi" w:cstheme="majorBidi"/>
          <w:b/>
          <w:bCs/>
          <w:sz w:val="28"/>
          <w:szCs w:val="28"/>
          <w:lang w:eastAsia="en-US"/>
        </w:rPr>
        <w:t>6,</w:t>
      </w:r>
      <w:r w:rsidRPr="3AA1E870" w:rsidR="3AEF15DD">
        <w:rPr>
          <w:rFonts w:eastAsia="Calibri" w:asciiTheme="majorHAnsi" w:hAnsiTheme="majorHAnsi" w:cstheme="majorBidi"/>
          <w:b/>
          <w:bCs/>
          <w:sz w:val="28"/>
          <w:szCs w:val="28"/>
          <w:lang w:eastAsia="en-US"/>
        </w:rPr>
        <w:t>7</w:t>
      </w:r>
      <w:r w:rsidRPr="3AA1E870" w:rsidR="32831BB3">
        <w:rPr>
          <w:rFonts w:eastAsia="Calibri" w:asciiTheme="majorHAnsi" w:hAnsiTheme="majorHAnsi" w:cstheme="majorBidi"/>
          <w:b/>
          <w:bCs/>
          <w:sz w:val="28"/>
          <w:szCs w:val="28"/>
          <w:lang w:eastAsia="en-US"/>
        </w:rPr>
        <w:t xml:space="preserve"> </w:t>
      </w:r>
      <w:r w:rsidRPr="3AA1E870">
        <w:rPr>
          <w:rFonts w:eastAsia="Calibri" w:asciiTheme="majorHAnsi" w:hAnsiTheme="majorHAnsi" w:cstheme="majorBidi"/>
          <w:b/>
          <w:bCs/>
          <w:sz w:val="28"/>
          <w:szCs w:val="28"/>
          <w:lang w:eastAsia="en-US"/>
        </w:rPr>
        <w:t xml:space="preserve">% </w:t>
      </w:r>
      <w:r w:rsidRPr="3AA1E870" w:rsidR="056EE2B5">
        <w:rPr>
          <w:rFonts w:eastAsia="Calibri" w:asciiTheme="majorHAnsi" w:hAnsiTheme="majorHAnsi" w:cstheme="majorBidi"/>
          <w:b/>
          <w:bCs/>
          <w:sz w:val="28"/>
          <w:szCs w:val="28"/>
          <w:lang w:eastAsia="en-US"/>
        </w:rPr>
        <w:t>σε</w:t>
      </w:r>
      <w:r w:rsidRPr="3AA1E870">
        <w:rPr>
          <w:rFonts w:eastAsia="Calibri" w:asciiTheme="majorHAnsi" w:hAnsiTheme="majorHAnsi" w:cstheme="majorBidi"/>
          <w:b/>
          <w:bCs/>
          <w:sz w:val="28"/>
          <w:szCs w:val="28"/>
          <w:lang w:eastAsia="en-US"/>
        </w:rPr>
        <w:t xml:space="preserve"> σχέσ</w:t>
      </w:r>
      <w:r w:rsidRPr="3AA1E870" w:rsidR="7F165A35">
        <w:rPr>
          <w:rFonts w:eastAsia="Calibri" w:asciiTheme="majorHAnsi" w:hAnsiTheme="majorHAnsi" w:cstheme="majorBidi"/>
          <w:b/>
          <w:bCs/>
          <w:sz w:val="28"/>
          <w:szCs w:val="28"/>
          <w:lang w:eastAsia="en-US"/>
        </w:rPr>
        <w:t>η</w:t>
      </w:r>
      <w:r w:rsidRPr="3AA1E870">
        <w:rPr>
          <w:rFonts w:eastAsia="Calibri" w:asciiTheme="majorHAnsi" w:hAnsiTheme="majorHAnsi" w:cstheme="majorBidi"/>
          <w:b/>
          <w:bCs/>
          <w:sz w:val="28"/>
          <w:szCs w:val="28"/>
          <w:lang w:eastAsia="en-US"/>
        </w:rPr>
        <w:t xml:space="preserve"> με τον αριθμό των αφίξεων που σημειώθηκαν το Α’ εξάμηνο του 2020. </w:t>
      </w:r>
      <w:r w:rsidRPr="3AA1E870" w:rsidR="4837C13A">
        <w:rPr>
          <w:rFonts w:eastAsia="Calibri" w:asciiTheme="majorHAnsi" w:hAnsiTheme="majorHAnsi" w:cstheme="majorBidi"/>
          <w:b/>
          <w:bCs/>
          <w:sz w:val="28"/>
          <w:szCs w:val="28"/>
          <w:lang w:eastAsia="en-US"/>
        </w:rPr>
        <w:t xml:space="preserve">Το αντίστοιχο χρονικό διάστημα </w:t>
      </w:r>
      <w:r w:rsidRPr="3AA1E870" w:rsidR="0B4F0542">
        <w:rPr>
          <w:rFonts w:eastAsia="Calibri" w:asciiTheme="majorHAnsi" w:hAnsiTheme="majorHAnsi" w:cstheme="majorBidi"/>
          <w:b/>
          <w:bCs/>
          <w:sz w:val="28"/>
          <w:szCs w:val="28"/>
          <w:lang w:eastAsia="en-US"/>
        </w:rPr>
        <w:t>του 2019 η αναλογία αφίξεων- επιστροφών ήταν στο 35</w:t>
      </w:r>
      <w:r w:rsidRPr="3AA1E870" w:rsidR="3444670D">
        <w:rPr>
          <w:rFonts w:eastAsia="Calibri" w:asciiTheme="majorHAnsi" w:hAnsiTheme="majorHAnsi" w:cstheme="majorBidi"/>
          <w:b/>
          <w:bCs/>
          <w:sz w:val="28"/>
          <w:szCs w:val="28"/>
          <w:lang w:eastAsia="en-US"/>
        </w:rPr>
        <w:t xml:space="preserve">,6 </w:t>
      </w:r>
      <w:r w:rsidRPr="3AA1E870" w:rsidR="0B4F0542">
        <w:rPr>
          <w:rFonts w:eastAsia="Calibri" w:asciiTheme="majorHAnsi" w:hAnsiTheme="majorHAnsi" w:cstheme="majorBidi"/>
          <w:b/>
          <w:bCs/>
          <w:sz w:val="28"/>
          <w:szCs w:val="28"/>
          <w:lang w:eastAsia="en-US"/>
        </w:rPr>
        <w:t>%</w:t>
      </w:r>
      <w:r w:rsidRPr="3AA1E870" w:rsidR="49EC8B52">
        <w:rPr>
          <w:rFonts w:eastAsia="Calibri" w:asciiTheme="majorHAnsi" w:hAnsiTheme="majorHAnsi" w:cstheme="majorBidi"/>
          <w:b/>
          <w:bCs/>
          <w:sz w:val="28"/>
          <w:szCs w:val="28"/>
          <w:lang w:eastAsia="en-US"/>
        </w:rPr>
        <w:t>,</w:t>
      </w:r>
      <w:r w:rsidRPr="3AA1E870" w:rsidR="0B4F0542">
        <w:rPr>
          <w:rFonts w:eastAsia="Calibri" w:asciiTheme="majorHAnsi" w:hAnsiTheme="majorHAnsi" w:cstheme="majorBidi"/>
          <w:b/>
          <w:bCs/>
          <w:sz w:val="28"/>
          <w:szCs w:val="28"/>
          <w:lang w:eastAsia="en-US"/>
        </w:rPr>
        <w:t xml:space="preserve"> χωρίς να ισχύουν</w:t>
      </w:r>
      <w:r w:rsidRPr="3AA1E870" w:rsidR="556F7F17">
        <w:rPr>
          <w:rFonts w:eastAsia="Calibri" w:asciiTheme="majorHAnsi" w:hAnsiTheme="majorHAnsi" w:cstheme="majorBidi"/>
          <w:b/>
          <w:bCs/>
          <w:sz w:val="28"/>
          <w:szCs w:val="28"/>
          <w:lang w:eastAsia="en-US"/>
        </w:rPr>
        <w:t xml:space="preserve">, τότε, </w:t>
      </w:r>
      <w:r w:rsidRPr="3AA1E870" w:rsidR="0B4F0542">
        <w:rPr>
          <w:rFonts w:eastAsia="Calibri" w:asciiTheme="majorHAnsi" w:hAnsiTheme="majorHAnsi" w:cstheme="majorBidi"/>
          <w:b/>
          <w:bCs/>
          <w:sz w:val="28"/>
          <w:szCs w:val="28"/>
          <w:lang w:eastAsia="en-US"/>
        </w:rPr>
        <w:t xml:space="preserve">οι περιορισμοί εισόδου-εξόδου. </w:t>
      </w:r>
    </w:p>
    <w:p w:rsidR="475CB06C" w:rsidP="475CB06C" w:rsidRDefault="475CB06C" w14:paraId="20E57600" w14:textId="4AA5340F">
      <w:pPr>
        <w:spacing w:after="160" w:line="259" w:lineRule="auto"/>
        <w:ind w:left="360"/>
        <w:jc w:val="both"/>
        <w:rPr>
          <w:rFonts w:eastAsia="Calibri" w:asciiTheme="majorHAnsi" w:hAnsiTheme="majorHAnsi" w:cstheme="majorBidi"/>
          <w:b/>
          <w:bCs/>
          <w:sz w:val="28"/>
          <w:szCs w:val="28"/>
          <w:lang w:eastAsia="en-US"/>
        </w:rPr>
      </w:pPr>
    </w:p>
    <w:p w:rsidRPr="00E8006B" w:rsidR="003657C0" w:rsidP="00E8006B" w:rsidRDefault="003657C0" w14:paraId="0983572D" w14:textId="35AC274F">
      <w:pPr>
        <w:numPr>
          <w:ilvl w:val="0"/>
          <w:numId w:val="1"/>
        </w:numPr>
        <w:spacing w:after="160" w:line="259" w:lineRule="auto"/>
        <w:contextualSpacing/>
        <w:jc w:val="both"/>
        <w:rPr>
          <w:rFonts w:eastAsia="Calibri" w:asciiTheme="majorHAnsi" w:hAnsiTheme="majorHAnsi" w:cstheme="majorBidi"/>
          <w:b/>
          <w:sz w:val="28"/>
          <w:szCs w:val="28"/>
          <w:lang w:eastAsia="en-US"/>
        </w:rPr>
      </w:pPr>
      <w:r w:rsidRPr="3CBD2259">
        <w:rPr>
          <w:rFonts w:eastAsia="Calibri" w:asciiTheme="majorHAnsi" w:hAnsiTheme="majorHAnsi" w:cstheme="majorBidi"/>
          <w:b/>
          <w:sz w:val="28"/>
          <w:szCs w:val="28"/>
          <w:lang w:eastAsia="en-US"/>
        </w:rPr>
        <w:t xml:space="preserve">Οι επιστροφές στην Τουρκία, βάσει της Κοινής Δήλωσης Ε.Ε. Τουρκίας αυξήθηκαν κατά 75,95%. Συγκεκριμένα, το Α’ Εξάμηνο του 2020 πραγματοποιήθηκαν 139 επιστροφές έναντι των 79 επιστροφών του αντίστοιχου χρονικού διαστήματος το 2019. </w:t>
      </w:r>
    </w:p>
    <w:p w:rsidR="00FC53C1" w:rsidP="3AA1E870" w:rsidRDefault="00E8006B" w14:paraId="79F06040" w14:textId="5C88737A">
      <w:pPr>
        <w:spacing w:after="160" w:line="259" w:lineRule="auto"/>
        <w:ind w:left="360"/>
        <w:rPr>
          <w:rFonts w:eastAsia="Calibri" w:asciiTheme="majorHAnsi" w:hAnsiTheme="majorHAnsi" w:cstheme="majorBidi"/>
          <w:sz w:val="28"/>
          <w:szCs w:val="28"/>
          <w:lang w:eastAsia="en-US"/>
        </w:rPr>
      </w:pPr>
      <w:r>
        <w:rPr>
          <w:noProof/>
        </w:rPr>
        <w:lastRenderedPageBreak/>
        <w:drawing>
          <wp:inline distT="0" distB="0" distL="0" distR="0" wp14:anchorId="47F089A8" wp14:editId="71DDDAEE">
            <wp:extent cx="4610100" cy="2758440"/>
            <wp:effectExtent l="0" t="0" r="0" b="3810"/>
            <wp:docPr id="6" name="Chart 6">
              <a:extLst xmlns:a="http://schemas.openxmlformats.org/drawingml/2006/main">
                <a:ext uri="{FF2B5EF4-FFF2-40B4-BE49-F238E27FC236}">
                  <a16:creationId xmlns:a16="http://schemas.microsoft.com/office/drawing/2014/main" id="{35A9B74D-FC17-476B-93F1-80CADFD9D64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8006B" w:rsidP="3AA1E870" w:rsidRDefault="00E8006B" w14:paraId="79C30421" w14:textId="37C93EB6">
      <w:pPr>
        <w:spacing w:after="160" w:line="259" w:lineRule="auto"/>
        <w:ind w:left="360"/>
        <w:rPr>
          <w:rFonts w:eastAsia="Calibri" w:asciiTheme="majorHAnsi" w:hAnsiTheme="majorHAnsi" w:cstheme="majorBidi"/>
          <w:sz w:val="28"/>
          <w:szCs w:val="28"/>
          <w:lang w:eastAsia="en-US"/>
        </w:rPr>
      </w:pPr>
      <w:r>
        <w:rPr>
          <w:noProof/>
        </w:rPr>
        <w:drawing>
          <wp:inline distT="0" distB="0" distL="0" distR="0" wp14:anchorId="3E7792A0" wp14:editId="633CE786">
            <wp:extent cx="4610100" cy="2743200"/>
            <wp:effectExtent l="0" t="0" r="0" b="0"/>
            <wp:docPr id="7" name="Chart 7">
              <a:extLst xmlns:a="http://schemas.openxmlformats.org/drawingml/2006/main">
                <a:ext uri="{FF2B5EF4-FFF2-40B4-BE49-F238E27FC236}">
                  <a16:creationId xmlns:a16="http://schemas.microsoft.com/office/drawing/2014/main" id="{DF541F76-DC15-4392-85C7-B245EA52FD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4B37BC04" w:rsidP="00E8006B" w:rsidRDefault="4B37BC04" w14:paraId="7D5F5389" w14:textId="23737590">
      <w:pPr>
        <w:spacing w:after="160" w:line="259" w:lineRule="auto"/>
        <w:rPr>
          <w:rFonts w:eastAsia="Calibri"/>
        </w:rPr>
      </w:pPr>
    </w:p>
    <w:p w:rsidRPr="0026054C" w:rsidR="003657C0" w:rsidP="003657C0" w:rsidRDefault="288A9BAD" w14:paraId="05E275C9" w14:textId="77777777">
      <w:pPr>
        <w:spacing w:after="160" w:line="259" w:lineRule="auto"/>
        <w:jc w:val="center"/>
        <w:rPr>
          <w:rFonts w:eastAsia="Calibri" w:asciiTheme="majorHAnsi" w:hAnsiTheme="majorHAnsi" w:cstheme="majorHAnsi"/>
          <w:b/>
          <w:bCs/>
          <w:sz w:val="28"/>
          <w:szCs w:val="28"/>
          <w:u w:val="single"/>
          <w:lang w:eastAsia="en-US"/>
        </w:rPr>
      </w:pPr>
      <w:r w:rsidRPr="3AA1E870">
        <w:rPr>
          <w:rFonts w:eastAsia="Calibri" w:asciiTheme="majorHAnsi" w:hAnsiTheme="majorHAnsi" w:cstheme="majorBidi"/>
          <w:b/>
          <w:bCs/>
          <w:sz w:val="28"/>
          <w:szCs w:val="28"/>
          <w:u w:val="single"/>
          <w:lang w:eastAsia="en-US"/>
        </w:rPr>
        <w:t>ΑΝΑΛΥΤΙΚΑ ΣΤΟΙΧΕΙΑ</w:t>
      </w:r>
    </w:p>
    <w:p w:rsidRPr="0026054C" w:rsidR="003657C0" w:rsidP="003657C0" w:rsidRDefault="003657C0" w14:paraId="5BCD5764" w14:textId="77777777">
      <w:pPr>
        <w:numPr>
          <w:ilvl w:val="0"/>
          <w:numId w:val="2"/>
        </w:numPr>
        <w:spacing w:after="160" w:line="259" w:lineRule="auto"/>
        <w:contextualSpacing/>
        <w:jc w:val="both"/>
        <w:rPr>
          <w:rFonts w:eastAsia="Calibri" w:asciiTheme="majorHAnsi" w:hAnsiTheme="majorHAnsi" w:cstheme="majorHAnsi"/>
          <w:b/>
          <w:bCs/>
          <w:sz w:val="28"/>
          <w:szCs w:val="28"/>
          <w:lang w:eastAsia="en-US"/>
        </w:rPr>
      </w:pPr>
      <w:r w:rsidRPr="0026054C">
        <w:rPr>
          <w:rFonts w:eastAsia="Calibri" w:asciiTheme="majorHAnsi" w:hAnsiTheme="majorHAnsi" w:cstheme="majorHAnsi"/>
          <w:b/>
          <w:bCs/>
          <w:sz w:val="28"/>
          <w:szCs w:val="28"/>
          <w:lang w:eastAsia="en-US"/>
        </w:rPr>
        <w:t>Νομικό Πλαίσιο Επιστροφών</w:t>
      </w:r>
    </w:p>
    <w:p w:rsidRPr="0026054C" w:rsidR="003657C0" w:rsidP="003657C0" w:rsidRDefault="003657C0" w14:paraId="6F9E7A15" w14:textId="77777777">
      <w:pPr>
        <w:spacing w:after="160" w:line="259" w:lineRule="auto"/>
        <w:jc w:val="both"/>
        <w:rPr>
          <w:rFonts w:eastAsia="Calibri" w:asciiTheme="majorHAnsi" w:hAnsiTheme="majorHAnsi" w:cstheme="majorHAnsi"/>
          <w:sz w:val="28"/>
          <w:szCs w:val="28"/>
          <w:lang w:eastAsia="en-US"/>
        </w:rPr>
      </w:pPr>
      <w:r w:rsidRPr="0026054C">
        <w:rPr>
          <w:rFonts w:eastAsia="Calibri" w:asciiTheme="majorHAnsi" w:hAnsiTheme="majorHAnsi" w:cstheme="majorHAnsi"/>
          <w:sz w:val="28"/>
          <w:szCs w:val="28"/>
          <w:lang w:eastAsia="en-US"/>
        </w:rPr>
        <w:t xml:space="preserve">Η Ελλάδα διαθέτει συγκεκριμένο νομικό οπλοστάσιο, βάσει του οποίου λαμβάνουν χώρα οι επιστροφές και απελάσεις προς τη Τουρκία και τρίτες χώρες. Συγκεκριμένα, σε ό,τι αφορά τις επιστροφές που πραγματοποιούνται στην Τουρκία: </w:t>
      </w:r>
    </w:p>
    <w:p w:rsidRPr="0026054C" w:rsidR="003657C0" w:rsidP="003657C0" w:rsidRDefault="003657C0" w14:paraId="2DBE60E8" w14:textId="77777777">
      <w:pPr>
        <w:spacing w:after="160" w:line="259" w:lineRule="auto"/>
        <w:jc w:val="both"/>
        <w:rPr>
          <w:rFonts w:eastAsia="Calibri" w:asciiTheme="majorHAnsi" w:hAnsiTheme="majorHAnsi" w:cstheme="majorHAnsi"/>
          <w:sz w:val="28"/>
          <w:szCs w:val="28"/>
          <w:lang w:eastAsia="en-US"/>
        </w:rPr>
      </w:pPr>
      <w:r w:rsidRPr="0026054C">
        <w:rPr>
          <w:rFonts w:eastAsia="Calibri" w:asciiTheme="majorHAnsi" w:hAnsiTheme="majorHAnsi" w:cstheme="majorHAnsi"/>
          <w:sz w:val="28"/>
          <w:szCs w:val="28"/>
          <w:lang w:eastAsia="en-US"/>
        </w:rPr>
        <w:t xml:space="preserve">α) Το διμερές </w:t>
      </w:r>
      <w:proofErr w:type="spellStart"/>
      <w:r w:rsidRPr="0026054C">
        <w:rPr>
          <w:rFonts w:eastAsia="Calibri" w:asciiTheme="majorHAnsi" w:hAnsiTheme="majorHAnsi" w:cstheme="majorHAnsi"/>
          <w:sz w:val="28"/>
          <w:szCs w:val="28"/>
          <w:lang w:eastAsia="en-US"/>
        </w:rPr>
        <w:t>Ελληνο</w:t>
      </w:r>
      <w:proofErr w:type="spellEnd"/>
      <w:r w:rsidRPr="0026054C">
        <w:rPr>
          <w:rFonts w:eastAsia="Calibri" w:asciiTheme="majorHAnsi" w:hAnsiTheme="majorHAnsi" w:cstheme="majorHAnsi"/>
          <w:sz w:val="28"/>
          <w:szCs w:val="28"/>
          <w:lang w:eastAsia="en-US"/>
        </w:rPr>
        <w:t xml:space="preserve">-Τουρκικό Πρωτόκολλο </w:t>
      </w:r>
      <w:proofErr w:type="spellStart"/>
      <w:r w:rsidRPr="0026054C">
        <w:rPr>
          <w:rFonts w:eastAsia="Calibri" w:asciiTheme="majorHAnsi" w:hAnsiTheme="majorHAnsi" w:cstheme="majorHAnsi"/>
          <w:sz w:val="28"/>
          <w:szCs w:val="28"/>
          <w:lang w:eastAsia="en-US"/>
        </w:rPr>
        <w:t>Επανεισδοχής</w:t>
      </w:r>
      <w:proofErr w:type="spellEnd"/>
      <w:r w:rsidRPr="0026054C">
        <w:rPr>
          <w:rFonts w:eastAsia="Calibri" w:asciiTheme="majorHAnsi" w:hAnsiTheme="majorHAnsi" w:cstheme="majorHAnsi"/>
          <w:sz w:val="28"/>
          <w:szCs w:val="28"/>
          <w:lang w:eastAsia="en-US"/>
        </w:rPr>
        <w:t>, το οποίο υπεγράφη στην Αθήνα στις 08-11-2001 και κυρώθηκε με το Ν.3030/2002 (ΦΕΚ Α΄-163/15-07-2002).</w:t>
      </w:r>
    </w:p>
    <w:p w:rsidRPr="0026054C" w:rsidR="003657C0" w:rsidP="003657C0" w:rsidRDefault="003657C0" w14:paraId="7B985FB2" w14:textId="77777777">
      <w:pPr>
        <w:spacing w:after="160" w:line="259" w:lineRule="auto"/>
        <w:jc w:val="both"/>
        <w:rPr>
          <w:rFonts w:eastAsia="Calibri" w:asciiTheme="majorHAnsi" w:hAnsiTheme="majorHAnsi" w:cstheme="majorHAnsi"/>
          <w:sz w:val="28"/>
          <w:szCs w:val="28"/>
          <w:lang w:eastAsia="en-US"/>
        </w:rPr>
      </w:pPr>
      <w:r w:rsidRPr="0026054C">
        <w:rPr>
          <w:rFonts w:eastAsia="Calibri" w:asciiTheme="majorHAnsi" w:hAnsiTheme="majorHAnsi" w:cstheme="majorHAnsi"/>
          <w:sz w:val="28"/>
          <w:szCs w:val="28"/>
          <w:lang w:eastAsia="en-US"/>
        </w:rPr>
        <w:lastRenderedPageBreak/>
        <w:t xml:space="preserve">β) Η Συμφωνία </w:t>
      </w:r>
      <w:proofErr w:type="spellStart"/>
      <w:r w:rsidRPr="0026054C">
        <w:rPr>
          <w:rFonts w:eastAsia="Calibri" w:asciiTheme="majorHAnsi" w:hAnsiTheme="majorHAnsi" w:cstheme="majorHAnsi"/>
          <w:sz w:val="28"/>
          <w:szCs w:val="28"/>
          <w:lang w:eastAsia="en-US"/>
        </w:rPr>
        <w:t>Επανεισδοχής</w:t>
      </w:r>
      <w:proofErr w:type="spellEnd"/>
      <w:r w:rsidRPr="0026054C">
        <w:rPr>
          <w:rFonts w:eastAsia="Calibri" w:asciiTheme="majorHAnsi" w:hAnsiTheme="majorHAnsi" w:cstheme="majorHAnsi"/>
          <w:sz w:val="28"/>
          <w:szCs w:val="28"/>
          <w:lang w:eastAsia="en-US"/>
        </w:rPr>
        <w:t xml:space="preserve"> Ευρωπαϊκής Ένωσης-Τουρκίας, η οποία υπεγράφη στις 16-12-2013 στην Άγκυρα και τέθηκε σε ισχύ την 01-10-2014 και αφορά υπηκόους Τουρκίας.</w:t>
      </w:r>
    </w:p>
    <w:p w:rsidRPr="0026054C" w:rsidR="003657C0" w:rsidP="003657C0" w:rsidRDefault="003657C0" w14:paraId="1F9C3171" w14:textId="77777777">
      <w:pPr>
        <w:spacing w:after="160" w:line="259" w:lineRule="auto"/>
        <w:jc w:val="both"/>
        <w:rPr>
          <w:rFonts w:eastAsia="Calibri" w:asciiTheme="majorHAnsi" w:hAnsiTheme="majorHAnsi" w:cstheme="majorHAnsi"/>
          <w:sz w:val="28"/>
          <w:szCs w:val="28"/>
          <w:lang w:eastAsia="en-US"/>
        </w:rPr>
      </w:pPr>
      <w:r w:rsidRPr="0026054C">
        <w:rPr>
          <w:rFonts w:eastAsia="Calibri" w:asciiTheme="majorHAnsi" w:hAnsiTheme="majorHAnsi" w:cstheme="majorHAnsi"/>
          <w:sz w:val="28"/>
          <w:szCs w:val="28"/>
          <w:lang w:eastAsia="en-US"/>
        </w:rPr>
        <w:t>γ) Η Κοινή Δήλωση Ε.Ε.-Τουρκίας, σύμφωνα με την οποία -από 18-03-2016- όλοι οι παράτυπα νεοεισερχόμενοι στα ελληνικά νησιά αλλοδαποί υπήκοοι, από τις 20-03-2016, θα επιστρέφονται στην Τουρκία.</w:t>
      </w:r>
    </w:p>
    <w:p w:rsidRPr="0026054C" w:rsidR="003657C0" w:rsidP="68557CEB" w:rsidRDefault="003657C0" w14:paraId="4621869B" w14:textId="2632B643">
      <w:pPr>
        <w:spacing w:after="160" w:line="259" w:lineRule="auto"/>
        <w:jc w:val="both"/>
        <w:rPr>
          <w:rFonts w:ascii="Calibri" w:hAnsi="Calibri" w:eastAsia="Calibri" w:cs="Calibri" w:asciiTheme="majorAscii" w:hAnsiTheme="majorAscii" w:cstheme="majorAscii"/>
          <w:sz w:val="28"/>
          <w:szCs w:val="28"/>
          <w:lang w:eastAsia="en-US"/>
        </w:rPr>
      </w:pPr>
      <w:r w:rsidRPr="68557CEB" w:rsidR="003657C0">
        <w:rPr>
          <w:rFonts w:ascii="Calibri" w:hAnsi="Calibri" w:eastAsia="Calibri" w:cs="Calibri" w:asciiTheme="majorAscii" w:hAnsiTheme="majorAscii" w:cstheme="majorAscii"/>
          <w:sz w:val="28"/>
          <w:szCs w:val="28"/>
          <w:lang w:eastAsia="en-US"/>
        </w:rPr>
        <w:t xml:space="preserve">Επιπλέον, η Ευρωπαϊκή Ένωση έχει συνάψει </w:t>
      </w:r>
      <w:r w:rsidRPr="68557CEB" w:rsidR="62747E6F">
        <w:rPr>
          <w:rFonts w:ascii="Calibri" w:hAnsi="Calibri" w:eastAsia="Calibri" w:cs="Calibri" w:asciiTheme="majorAscii" w:hAnsiTheme="majorAscii" w:cstheme="majorAscii"/>
          <w:sz w:val="28"/>
          <w:szCs w:val="28"/>
          <w:lang w:eastAsia="en-US"/>
        </w:rPr>
        <w:t>σ</w:t>
      </w:r>
      <w:r w:rsidRPr="68557CEB" w:rsidR="003657C0">
        <w:rPr>
          <w:rFonts w:ascii="Calibri" w:hAnsi="Calibri" w:eastAsia="Calibri" w:cs="Calibri" w:asciiTheme="majorAscii" w:hAnsiTheme="majorAscii" w:cstheme="majorAscii"/>
          <w:sz w:val="28"/>
          <w:szCs w:val="28"/>
          <w:lang w:eastAsia="en-US"/>
        </w:rPr>
        <w:t xml:space="preserve">υμφωνίες </w:t>
      </w:r>
      <w:r w:rsidRPr="68557CEB" w:rsidR="036E994D">
        <w:rPr>
          <w:rFonts w:ascii="Calibri" w:hAnsi="Calibri" w:eastAsia="Calibri" w:cs="Calibri" w:asciiTheme="majorAscii" w:hAnsiTheme="majorAscii" w:cstheme="majorAscii"/>
          <w:sz w:val="28"/>
          <w:szCs w:val="28"/>
          <w:lang w:eastAsia="en-US"/>
        </w:rPr>
        <w:t>ε</w:t>
      </w:r>
      <w:r w:rsidRPr="68557CEB" w:rsidR="003657C0">
        <w:rPr>
          <w:rFonts w:ascii="Calibri" w:hAnsi="Calibri" w:eastAsia="Calibri" w:cs="Calibri" w:asciiTheme="majorAscii" w:hAnsiTheme="majorAscii" w:cstheme="majorAscii"/>
          <w:sz w:val="28"/>
          <w:szCs w:val="28"/>
          <w:lang w:eastAsia="en-US"/>
        </w:rPr>
        <w:t>πανεισδοχής</w:t>
      </w:r>
      <w:r w:rsidRPr="68557CEB" w:rsidR="003657C0">
        <w:rPr>
          <w:rFonts w:ascii="Calibri" w:hAnsi="Calibri" w:eastAsia="Calibri" w:cs="Calibri" w:asciiTheme="majorAscii" w:hAnsiTheme="majorAscii" w:cstheme="majorAscii"/>
          <w:sz w:val="28"/>
          <w:szCs w:val="28"/>
          <w:lang w:eastAsia="en-US"/>
        </w:rPr>
        <w:t xml:space="preserve"> με μια σειρά κρατών (Πακιστάν, Αλβανία, Αρμενία, Αζερμπαϊτζάν, Βοσνία-Ερζεγοβίνη, Γεωργία, Μολδαβία, Μαυροβούνιο, Βόρεια Μακεδονία, Ρωσία, Σερβία και Ουκρανία), οι οποίες, σήμερα, αξιοποιούνται από τη χώρα μας. (</w:t>
      </w:r>
      <w:hyperlink r:id="R011eb8b882104a10">
        <w:r w:rsidRPr="68557CEB" w:rsidR="003657C0">
          <w:rPr>
            <w:rFonts w:ascii="Calibri" w:hAnsi="Calibri" w:eastAsia="Calibri" w:cs="Calibri" w:asciiTheme="majorAscii" w:hAnsiTheme="majorAscii" w:cstheme="majorAscii"/>
            <w:color w:val="0563C1"/>
            <w:sz w:val="28"/>
            <w:szCs w:val="28"/>
            <w:u w:val="single"/>
            <w:lang w:eastAsia="en-US"/>
          </w:rPr>
          <w:t>https://eur-lex.europa.eu/legal-content/EL/TXT/HTML/?uri=LEGISSUM:l14163</w:t>
        </w:r>
      </w:hyperlink>
      <w:r w:rsidRPr="68557CEB" w:rsidR="003657C0">
        <w:rPr>
          <w:rFonts w:ascii="Calibri" w:hAnsi="Calibri" w:eastAsia="Calibri" w:cs="Calibri" w:asciiTheme="majorAscii" w:hAnsiTheme="majorAscii" w:cstheme="majorAscii"/>
          <w:sz w:val="28"/>
          <w:szCs w:val="28"/>
          <w:lang w:eastAsia="en-US"/>
        </w:rPr>
        <w:t xml:space="preserve">) </w:t>
      </w:r>
    </w:p>
    <w:p w:rsidRPr="0026054C" w:rsidR="003657C0" w:rsidP="003657C0" w:rsidRDefault="003657C0" w14:paraId="1ADC2F32" w14:textId="77CC489D">
      <w:pPr>
        <w:spacing w:after="160" w:line="259" w:lineRule="auto"/>
        <w:jc w:val="both"/>
        <w:rPr>
          <w:rFonts w:eastAsia="Calibri" w:asciiTheme="majorHAnsi" w:hAnsiTheme="majorHAnsi" w:cstheme="majorBidi"/>
          <w:sz w:val="28"/>
          <w:szCs w:val="28"/>
          <w:lang w:eastAsia="en-US"/>
        </w:rPr>
      </w:pPr>
      <w:r w:rsidRPr="08E5EAD2">
        <w:rPr>
          <w:rFonts w:eastAsia="Calibri" w:asciiTheme="majorHAnsi" w:hAnsiTheme="majorHAnsi" w:cstheme="majorBidi"/>
          <w:sz w:val="28"/>
          <w:szCs w:val="28"/>
          <w:lang w:eastAsia="en-US"/>
        </w:rPr>
        <w:t>Συμπληρωματικά, η Ευρωπαϊκή Ένωση έχει δεσμευθεί από κοινού με το Αφγανιστάν βάσει των οριζόμενων στο “</w:t>
      </w:r>
      <w:r w:rsidRPr="08E5EAD2">
        <w:rPr>
          <w:rFonts w:eastAsia="Calibri" w:asciiTheme="majorHAnsi" w:hAnsiTheme="majorHAnsi" w:cstheme="majorBidi"/>
          <w:b/>
          <w:sz w:val="28"/>
          <w:szCs w:val="28"/>
          <w:lang w:eastAsia="en-US"/>
        </w:rPr>
        <w:t xml:space="preserve">Joint </w:t>
      </w:r>
      <w:proofErr w:type="spellStart"/>
      <w:r w:rsidRPr="08E5EAD2">
        <w:rPr>
          <w:rFonts w:eastAsia="Calibri" w:asciiTheme="majorHAnsi" w:hAnsiTheme="majorHAnsi" w:cstheme="majorBidi"/>
          <w:b/>
          <w:sz w:val="28"/>
          <w:szCs w:val="28"/>
          <w:lang w:eastAsia="en-US"/>
        </w:rPr>
        <w:t>Way</w:t>
      </w:r>
      <w:proofErr w:type="spellEnd"/>
      <w:r w:rsidRPr="08E5EAD2">
        <w:rPr>
          <w:rFonts w:eastAsia="Calibri" w:asciiTheme="majorHAnsi" w:hAnsiTheme="majorHAnsi" w:cstheme="majorBidi"/>
          <w:b/>
          <w:sz w:val="28"/>
          <w:szCs w:val="28"/>
          <w:lang w:eastAsia="en-US"/>
        </w:rPr>
        <w:t xml:space="preserve"> </w:t>
      </w:r>
      <w:proofErr w:type="spellStart"/>
      <w:r w:rsidRPr="08E5EAD2">
        <w:rPr>
          <w:rFonts w:eastAsia="Calibri" w:asciiTheme="majorHAnsi" w:hAnsiTheme="majorHAnsi" w:cstheme="majorBidi"/>
          <w:b/>
          <w:sz w:val="28"/>
          <w:szCs w:val="28"/>
          <w:lang w:eastAsia="en-US"/>
        </w:rPr>
        <w:t>Forward</w:t>
      </w:r>
      <w:proofErr w:type="spellEnd"/>
      <w:r w:rsidRPr="08E5EAD2">
        <w:rPr>
          <w:rFonts w:eastAsia="Calibri" w:asciiTheme="majorHAnsi" w:hAnsiTheme="majorHAnsi" w:cstheme="majorBidi"/>
          <w:sz w:val="28"/>
          <w:szCs w:val="28"/>
          <w:lang w:eastAsia="en-US"/>
        </w:rPr>
        <w:t xml:space="preserve">” για την </w:t>
      </w:r>
      <w:proofErr w:type="spellStart"/>
      <w:r w:rsidRPr="08E5EAD2">
        <w:rPr>
          <w:rFonts w:eastAsia="Calibri" w:asciiTheme="majorHAnsi" w:hAnsiTheme="majorHAnsi" w:cstheme="majorBidi"/>
          <w:sz w:val="28"/>
          <w:szCs w:val="28"/>
          <w:lang w:eastAsia="en-US"/>
        </w:rPr>
        <w:t>επανεισδοχή</w:t>
      </w:r>
      <w:proofErr w:type="spellEnd"/>
      <w:r w:rsidRPr="08E5EAD2">
        <w:rPr>
          <w:rFonts w:eastAsia="Calibri" w:asciiTheme="majorHAnsi" w:hAnsiTheme="majorHAnsi" w:cstheme="majorBidi"/>
          <w:sz w:val="28"/>
          <w:szCs w:val="28"/>
          <w:lang w:eastAsia="en-US"/>
        </w:rPr>
        <w:t xml:space="preserve"> Αφγανών υπηκόων, καθώς και την αποτελεσματικότερη διαχείριση μεταναστευτικών ροών από το Αφγανιστάν προς την ήπειρο.(</w:t>
      </w:r>
      <w:hyperlink r:id="rId13">
        <w:r w:rsidRPr="08E5EAD2">
          <w:rPr>
            <w:rFonts w:eastAsia="Calibri" w:asciiTheme="majorHAnsi" w:hAnsiTheme="majorHAnsi" w:cstheme="majorBidi"/>
            <w:color w:val="0563C1"/>
            <w:sz w:val="28"/>
            <w:szCs w:val="28"/>
            <w:u w:val="single"/>
            <w:lang w:eastAsia="en-US"/>
          </w:rPr>
          <w:t>https://eeas.europa.eu/sites/eeas/files/eu_afghanistan_joint_way_forward_on_migration_issues.pdf</w:t>
        </w:r>
      </w:hyperlink>
      <w:r w:rsidRPr="08E5EAD2">
        <w:rPr>
          <w:rFonts w:eastAsia="Calibri" w:asciiTheme="majorHAnsi" w:hAnsiTheme="majorHAnsi" w:cstheme="majorBidi"/>
          <w:sz w:val="28"/>
          <w:szCs w:val="28"/>
          <w:lang w:eastAsia="en-US"/>
        </w:rPr>
        <w:t>)</w:t>
      </w:r>
    </w:p>
    <w:p w:rsidRPr="0026054C" w:rsidR="003657C0" w:rsidP="003657C0" w:rsidRDefault="003657C0" w14:paraId="0C0B5FB1" w14:textId="7D3A0AEE">
      <w:pPr>
        <w:spacing w:after="160" w:line="259" w:lineRule="auto"/>
        <w:jc w:val="both"/>
        <w:rPr>
          <w:rFonts w:eastAsia="Calibri" w:asciiTheme="majorHAnsi" w:hAnsiTheme="majorHAnsi" w:cstheme="majorBidi"/>
          <w:sz w:val="28"/>
          <w:szCs w:val="28"/>
          <w:lang w:eastAsia="en-US"/>
        </w:rPr>
      </w:pPr>
      <w:r w:rsidRPr="4ABACBC4">
        <w:rPr>
          <w:rFonts w:eastAsia="Calibri" w:asciiTheme="majorHAnsi" w:hAnsiTheme="majorHAnsi" w:cstheme="majorBidi"/>
          <w:sz w:val="28"/>
          <w:szCs w:val="28"/>
          <w:lang w:eastAsia="en-US"/>
        </w:rPr>
        <w:t xml:space="preserve">Παράλληλα, η Ευρωπαϊκή Ένωση έχει υπογράψει με το Μπαγκλαντές κοινές διαδικασίες επιχειρήσεων επιστροφής (Standard </w:t>
      </w:r>
      <w:proofErr w:type="spellStart"/>
      <w:r w:rsidRPr="4ABACBC4">
        <w:rPr>
          <w:rFonts w:eastAsia="Calibri" w:asciiTheme="majorHAnsi" w:hAnsiTheme="majorHAnsi" w:cstheme="majorBidi"/>
          <w:sz w:val="28"/>
          <w:szCs w:val="28"/>
          <w:lang w:eastAsia="en-US"/>
        </w:rPr>
        <w:t>Operating</w:t>
      </w:r>
      <w:proofErr w:type="spellEnd"/>
      <w:r w:rsidRPr="4ABACBC4">
        <w:rPr>
          <w:rFonts w:eastAsia="Calibri" w:asciiTheme="majorHAnsi" w:hAnsiTheme="majorHAnsi" w:cstheme="majorBidi"/>
          <w:sz w:val="28"/>
          <w:szCs w:val="28"/>
          <w:lang w:eastAsia="en-US"/>
        </w:rPr>
        <w:t xml:space="preserve"> </w:t>
      </w:r>
      <w:proofErr w:type="spellStart"/>
      <w:r w:rsidRPr="4ABACBC4">
        <w:rPr>
          <w:rFonts w:eastAsia="Calibri" w:asciiTheme="majorHAnsi" w:hAnsiTheme="majorHAnsi" w:cstheme="majorBidi"/>
          <w:sz w:val="28"/>
          <w:szCs w:val="28"/>
          <w:lang w:eastAsia="en-US"/>
        </w:rPr>
        <w:t>Procedures</w:t>
      </w:r>
      <w:proofErr w:type="spellEnd"/>
      <w:r w:rsidRPr="4ABACBC4">
        <w:rPr>
          <w:rFonts w:eastAsia="Calibri" w:asciiTheme="majorHAnsi" w:hAnsiTheme="majorHAnsi" w:cstheme="majorBidi"/>
          <w:sz w:val="28"/>
          <w:szCs w:val="28"/>
          <w:lang w:eastAsia="en-US"/>
        </w:rPr>
        <w:t xml:space="preserve"> - </w:t>
      </w:r>
      <w:proofErr w:type="spellStart"/>
      <w:r w:rsidRPr="4ABACBC4">
        <w:rPr>
          <w:rFonts w:eastAsia="Calibri" w:asciiTheme="majorHAnsi" w:hAnsiTheme="majorHAnsi" w:cstheme="majorBidi"/>
          <w:sz w:val="28"/>
          <w:szCs w:val="28"/>
          <w:lang w:eastAsia="en-US"/>
        </w:rPr>
        <w:t>SOPs</w:t>
      </w:r>
      <w:proofErr w:type="spellEnd"/>
      <w:r w:rsidRPr="4ABACBC4">
        <w:rPr>
          <w:rFonts w:eastAsia="Calibri" w:asciiTheme="majorHAnsi" w:hAnsiTheme="majorHAnsi" w:cstheme="majorBidi"/>
          <w:sz w:val="28"/>
          <w:szCs w:val="28"/>
          <w:lang w:eastAsia="en-US"/>
        </w:rPr>
        <w:t>) για τη διευκόλυνση της επιστροφής υπηκόων του, οι οποίοι έχουν απωλέσει τα ταξιδιωτικά τους έγγραφα ή άλλα έγγραφα ταυτοποίησης.</w:t>
      </w:r>
    </w:p>
    <w:p w:rsidR="003657C0" w:rsidP="003657C0" w:rsidRDefault="003657C0" w14:paraId="2B62CA91" w14:textId="77777777">
      <w:pPr>
        <w:spacing w:after="160" w:line="259" w:lineRule="auto"/>
        <w:jc w:val="both"/>
        <w:rPr>
          <w:rFonts w:eastAsia="Calibri" w:asciiTheme="majorHAnsi" w:hAnsiTheme="majorHAnsi" w:cstheme="majorHAnsi"/>
          <w:sz w:val="28"/>
          <w:szCs w:val="28"/>
          <w:lang w:eastAsia="en-US"/>
        </w:rPr>
      </w:pPr>
      <w:r w:rsidRPr="0026054C">
        <w:rPr>
          <w:rFonts w:eastAsia="Calibri" w:asciiTheme="majorHAnsi" w:hAnsiTheme="majorHAnsi" w:cstheme="majorHAnsi"/>
          <w:sz w:val="28"/>
          <w:szCs w:val="28"/>
          <w:lang w:eastAsia="en-US"/>
        </w:rPr>
        <w:t xml:space="preserve">Τέλος, η χώρα μας εφαρμόζει κατά περίπτωση διμερείς συμφωνίες ή μνημόνια συνεργασίας με τρίτες χώρες, κατόπιν συνεννοήσεως με τις προξενικές αρχές ή την πρεσβεία του κράτους στο ελληνικό έδαφος, με σκοπό την επιτάχυνση των επιστροφών. </w:t>
      </w:r>
    </w:p>
    <w:p w:rsidRPr="0026054C" w:rsidR="005C313F" w:rsidP="003657C0" w:rsidRDefault="005C313F" w14:paraId="01694F72" w14:textId="77777777">
      <w:pPr>
        <w:spacing w:after="160" w:line="259" w:lineRule="auto"/>
        <w:jc w:val="both"/>
        <w:rPr>
          <w:rFonts w:eastAsia="Calibri" w:asciiTheme="majorHAnsi" w:hAnsiTheme="majorHAnsi" w:cstheme="majorHAnsi"/>
          <w:sz w:val="28"/>
          <w:szCs w:val="28"/>
          <w:lang w:eastAsia="en-US"/>
        </w:rPr>
      </w:pPr>
    </w:p>
    <w:p w:rsidRPr="0026054C" w:rsidR="003657C0" w:rsidP="003657C0" w:rsidRDefault="003657C0" w14:paraId="49CECC00" w14:textId="77777777">
      <w:pPr>
        <w:numPr>
          <w:ilvl w:val="0"/>
          <w:numId w:val="2"/>
        </w:numPr>
        <w:spacing w:after="160" w:line="259" w:lineRule="auto"/>
        <w:contextualSpacing/>
        <w:jc w:val="both"/>
        <w:rPr>
          <w:rFonts w:eastAsia="MS Mincho" w:asciiTheme="majorHAnsi" w:hAnsiTheme="majorHAnsi" w:cstheme="majorHAnsi"/>
          <w:b/>
          <w:bCs/>
          <w:sz w:val="28"/>
          <w:szCs w:val="28"/>
          <w:lang w:eastAsia="en-US"/>
        </w:rPr>
      </w:pPr>
      <w:r w:rsidRPr="0026054C">
        <w:rPr>
          <w:rFonts w:eastAsia="Calibri" w:asciiTheme="majorHAnsi" w:hAnsiTheme="majorHAnsi" w:cstheme="majorHAnsi"/>
          <w:b/>
          <w:bCs/>
          <w:sz w:val="28"/>
          <w:szCs w:val="28"/>
          <w:lang w:eastAsia="en-US"/>
        </w:rPr>
        <w:t>Αναγκαστικές Απελάσεις</w:t>
      </w:r>
    </w:p>
    <w:p w:rsidR="003657C0" w:rsidP="3AA1E870" w:rsidRDefault="288A9BAD" w14:paraId="1D7508CC" w14:textId="77777777">
      <w:pPr>
        <w:spacing w:after="160" w:line="259" w:lineRule="auto"/>
        <w:jc w:val="both"/>
        <w:rPr>
          <w:rFonts w:eastAsia="Calibri" w:asciiTheme="majorHAnsi" w:hAnsiTheme="majorHAnsi" w:cstheme="majorBidi"/>
          <w:sz w:val="28"/>
          <w:szCs w:val="28"/>
          <w:lang w:eastAsia="en-US"/>
        </w:rPr>
      </w:pPr>
      <w:r w:rsidRPr="3AA1E870">
        <w:rPr>
          <w:rFonts w:eastAsia="Calibri" w:asciiTheme="majorHAnsi" w:hAnsiTheme="majorHAnsi" w:cstheme="majorBidi"/>
          <w:sz w:val="28"/>
          <w:szCs w:val="28"/>
          <w:lang w:eastAsia="en-US"/>
        </w:rPr>
        <w:t xml:space="preserve">Το Α’ Εξάμηνο του 2020 πραγματοποιήθηκαν </w:t>
      </w:r>
      <w:r w:rsidRPr="3AA1E870">
        <w:rPr>
          <w:rFonts w:eastAsia="Calibri" w:asciiTheme="majorHAnsi" w:hAnsiTheme="majorHAnsi" w:cstheme="majorBidi"/>
          <w:b/>
          <w:bCs/>
          <w:sz w:val="28"/>
          <w:szCs w:val="28"/>
          <w:lang w:eastAsia="en-US"/>
        </w:rPr>
        <w:t xml:space="preserve">1.343 </w:t>
      </w:r>
      <w:r w:rsidRPr="3AA1E870">
        <w:rPr>
          <w:rFonts w:eastAsia="Calibri" w:asciiTheme="majorHAnsi" w:hAnsiTheme="majorHAnsi" w:cstheme="majorBidi"/>
          <w:sz w:val="28"/>
          <w:szCs w:val="28"/>
          <w:lang w:eastAsia="en-US"/>
        </w:rPr>
        <w:t>αναγκαστικές  απελάσεις μεταναστών προς τρίτες χώρες, βάσει συμφωνιών της Ευρωπαϊκής Ένωσης, αλλά και διμερών συμφωνιών της χώρας μας.</w:t>
      </w:r>
    </w:p>
    <w:p w:rsidRPr="0026054C" w:rsidR="005C313F" w:rsidP="003657C0" w:rsidRDefault="005C313F" w14:paraId="2B14BE20" w14:textId="77777777">
      <w:pPr>
        <w:spacing w:after="160" w:line="259" w:lineRule="auto"/>
        <w:jc w:val="both"/>
        <w:rPr>
          <w:rFonts w:eastAsia="Calibri" w:asciiTheme="majorHAnsi" w:hAnsiTheme="majorHAnsi" w:cstheme="majorHAnsi"/>
          <w:sz w:val="28"/>
          <w:szCs w:val="28"/>
          <w:lang w:eastAsia="en-US"/>
        </w:rPr>
      </w:pPr>
    </w:p>
    <w:p w:rsidRPr="0026054C" w:rsidR="003657C0" w:rsidP="003657C0" w:rsidRDefault="003657C0" w14:paraId="6A28F405" w14:textId="77777777">
      <w:pPr>
        <w:numPr>
          <w:ilvl w:val="0"/>
          <w:numId w:val="2"/>
        </w:numPr>
        <w:spacing w:after="160" w:line="259" w:lineRule="auto"/>
        <w:contextualSpacing/>
        <w:jc w:val="both"/>
        <w:rPr>
          <w:rFonts w:eastAsia="Calibri" w:asciiTheme="majorHAnsi" w:hAnsiTheme="majorHAnsi" w:cstheme="majorHAnsi"/>
          <w:b/>
          <w:bCs/>
          <w:sz w:val="28"/>
          <w:szCs w:val="28"/>
          <w:lang w:eastAsia="en-US"/>
        </w:rPr>
      </w:pPr>
      <w:r w:rsidRPr="0026054C">
        <w:rPr>
          <w:rFonts w:eastAsia="Calibri" w:asciiTheme="majorHAnsi" w:hAnsiTheme="majorHAnsi" w:cstheme="majorHAnsi"/>
          <w:b/>
          <w:bCs/>
          <w:sz w:val="28"/>
          <w:szCs w:val="28"/>
          <w:lang w:eastAsia="en-US"/>
        </w:rPr>
        <w:t>Κοινή Δήλωση Ε.Ε.-Τουρκίας</w:t>
      </w:r>
    </w:p>
    <w:p w:rsidRPr="0026054C" w:rsidR="003657C0" w:rsidP="709227B7" w:rsidRDefault="003657C0" w14:paraId="40264419" w14:textId="77777777">
      <w:pPr>
        <w:spacing w:after="160" w:line="259" w:lineRule="auto"/>
        <w:jc w:val="both"/>
        <w:rPr>
          <w:rFonts w:eastAsia="Calibri" w:asciiTheme="majorHAnsi" w:hAnsiTheme="majorHAnsi" w:cstheme="majorBidi"/>
          <w:sz w:val="28"/>
          <w:szCs w:val="28"/>
          <w:lang w:eastAsia="en-US"/>
        </w:rPr>
      </w:pPr>
      <w:r w:rsidRPr="709227B7">
        <w:rPr>
          <w:rFonts w:eastAsia="Calibri" w:asciiTheme="majorHAnsi" w:hAnsiTheme="majorHAnsi" w:cstheme="majorBidi"/>
          <w:sz w:val="28"/>
          <w:szCs w:val="28"/>
          <w:lang w:eastAsia="en-US"/>
        </w:rPr>
        <w:lastRenderedPageBreak/>
        <w:t xml:space="preserve">Στις 18 Μαρτίου του 2016 υπογράφηκε η Κοινή Δήλωση ΕΕ-Τουρκίας, η εφαρμογή της οποίας ξεκίνησε δύο μέρες αργότερα. Με απόφαση του Ευρωπαϊκού Συμβουλίου, όλοι οι νέοι παράτυποι μετανάστες που φθάνουν στα ελληνικά νησιά μέσω Τουρκίας από τις 20 Μαρτίου 2016 και έπειτα θα επιστρέφονται σε αυτήν. </w:t>
      </w:r>
    </w:p>
    <w:p w:rsidR="003657C0" w:rsidP="3AA1E870" w:rsidRDefault="288A9BAD" w14:paraId="170F5C95" w14:textId="0BF6BD97">
      <w:pPr>
        <w:spacing w:after="160" w:line="259" w:lineRule="auto"/>
        <w:jc w:val="both"/>
        <w:rPr>
          <w:rFonts w:eastAsia="Calibri" w:asciiTheme="majorHAnsi" w:hAnsiTheme="majorHAnsi" w:cstheme="majorBidi"/>
          <w:sz w:val="28"/>
          <w:szCs w:val="28"/>
          <w:lang w:eastAsia="en-US"/>
        </w:rPr>
      </w:pPr>
      <w:r w:rsidRPr="3AA1E870">
        <w:rPr>
          <w:rFonts w:eastAsia="Calibri" w:asciiTheme="majorHAnsi" w:hAnsiTheme="majorHAnsi" w:cstheme="majorBidi"/>
          <w:sz w:val="28"/>
          <w:szCs w:val="28"/>
          <w:lang w:eastAsia="en-US"/>
        </w:rPr>
        <w:t xml:space="preserve">Το Α’ Εξάμηνο του 2020 πραγματοποιήθηκαν, βάσει της Κοινής Δήλωσης Ε.Ε.-Τουρκίας, </w:t>
      </w:r>
      <w:r w:rsidRPr="3AA1E870">
        <w:rPr>
          <w:rFonts w:eastAsia="Calibri" w:asciiTheme="majorHAnsi" w:hAnsiTheme="majorHAnsi" w:cstheme="majorBidi"/>
          <w:b/>
          <w:bCs/>
          <w:sz w:val="28"/>
          <w:szCs w:val="28"/>
          <w:lang w:eastAsia="en-US"/>
        </w:rPr>
        <w:t xml:space="preserve">139 </w:t>
      </w:r>
      <w:r w:rsidRPr="3AA1E870">
        <w:rPr>
          <w:rFonts w:eastAsia="Calibri" w:asciiTheme="majorHAnsi" w:hAnsiTheme="majorHAnsi" w:cstheme="majorBidi"/>
          <w:sz w:val="28"/>
          <w:szCs w:val="28"/>
          <w:lang w:eastAsia="en-US"/>
        </w:rPr>
        <w:t xml:space="preserve">επιστροφές μεταναστών. Αριθμός αυξημένος κατά 75,95% σε σύγκριση με τις επιστροφές που έλαβαν χώρα το αντίστοιχο χρονικό διάστημα του 2019 (συνολικά 79). </w:t>
      </w:r>
    </w:p>
    <w:p w:rsidR="00B514C6" w:rsidP="3AA1E870" w:rsidRDefault="00B514C6" w14:paraId="13D3F2B2" w14:textId="77777777">
      <w:pPr>
        <w:spacing w:after="160" w:line="259" w:lineRule="auto"/>
        <w:jc w:val="both"/>
        <w:rPr>
          <w:rFonts w:eastAsia="Calibri" w:asciiTheme="majorHAnsi" w:hAnsiTheme="majorHAnsi" w:cstheme="majorBidi"/>
          <w:sz w:val="28"/>
          <w:szCs w:val="28"/>
          <w:lang w:eastAsia="en-US"/>
        </w:rPr>
      </w:pPr>
    </w:p>
    <w:p w:rsidRPr="00B514C6" w:rsidR="00B514C6" w:rsidP="00B514C6" w:rsidRDefault="00B514C6" w14:paraId="37E3B217" w14:textId="4F4B9A34">
      <w:pPr>
        <w:spacing w:after="160" w:line="259" w:lineRule="auto"/>
        <w:jc w:val="center"/>
        <w:rPr>
          <w:rFonts w:eastAsia="Calibri" w:asciiTheme="majorHAnsi" w:hAnsiTheme="majorHAnsi" w:cstheme="majorBidi"/>
          <w:b/>
          <w:bCs/>
          <w:sz w:val="28"/>
          <w:szCs w:val="28"/>
          <w:lang w:eastAsia="en-US"/>
        </w:rPr>
      </w:pPr>
      <w:r w:rsidRPr="00B514C6">
        <w:rPr>
          <w:rFonts w:eastAsia="Calibri" w:asciiTheme="majorHAnsi" w:hAnsiTheme="majorHAnsi" w:cstheme="majorBidi"/>
          <w:b/>
          <w:bCs/>
          <w:sz w:val="28"/>
          <w:szCs w:val="28"/>
          <w:lang w:eastAsia="en-US"/>
        </w:rPr>
        <w:t>ΚΟΙΝΗ ΔΗΛΩΣΗ - ΕΠΙΣΤΡΟΦΕΣ</w:t>
      </w:r>
    </w:p>
    <w:tbl>
      <w:tblPr>
        <w:tblStyle w:val="5-11"/>
        <w:tblW w:w="0" w:type="auto"/>
        <w:jc w:val="center"/>
        <w:tblLook w:val="04A0" w:firstRow="1" w:lastRow="0" w:firstColumn="1" w:lastColumn="0" w:noHBand="0" w:noVBand="1"/>
      </w:tblPr>
      <w:tblGrid>
        <w:gridCol w:w="2039"/>
        <w:gridCol w:w="960"/>
        <w:gridCol w:w="960"/>
      </w:tblGrid>
      <w:tr w:rsidRPr="00B514C6" w:rsidR="00B514C6" w:rsidTr="00B514C6" w14:paraId="5E38D0CD" w14:textId="77777777">
        <w:trPr>
          <w:cnfStyle w:val="100000000000" w:firstRow="1" w:lastRow="0" w:firstColumn="0" w:lastColumn="0" w:oddVBand="0" w:evenVBand="0" w:oddHBand="0"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39" w:type="dxa"/>
            <w:noWrap/>
            <w:vAlign w:val="center"/>
            <w:hideMark/>
          </w:tcPr>
          <w:p w:rsidRPr="00FC53C1" w:rsidR="00B514C6" w:rsidP="00B514C6" w:rsidRDefault="00B514C6" w14:paraId="64703C17" w14:textId="6D023F9C">
            <w:pPr>
              <w:spacing w:after="160" w:line="259" w:lineRule="auto"/>
              <w:jc w:val="center"/>
              <w:rPr>
                <w:rFonts w:asciiTheme="majorHAnsi" w:hAnsiTheme="majorHAnsi" w:cstheme="majorHAnsi"/>
                <w:sz w:val="28"/>
                <w:szCs w:val="28"/>
                <w:lang w:val="en-US"/>
              </w:rPr>
            </w:pPr>
            <w:r w:rsidRPr="00B514C6">
              <w:rPr>
                <w:rFonts w:asciiTheme="majorHAnsi" w:hAnsiTheme="majorHAnsi" w:cstheme="majorHAnsi"/>
                <w:sz w:val="28"/>
                <w:szCs w:val="28"/>
              </w:rPr>
              <w:t>ΜΗΝΕΣ</w:t>
            </w:r>
            <w:r>
              <w:rPr>
                <w:rFonts w:asciiTheme="majorHAnsi" w:hAnsiTheme="majorHAnsi" w:cstheme="majorHAnsi"/>
                <w:sz w:val="28"/>
                <w:szCs w:val="28"/>
              </w:rPr>
              <w:t>/ΕΤΗ</w:t>
            </w:r>
          </w:p>
        </w:tc>
        <w:tc>
          <w:tcPr>
            <w:tcW w:w="960" w:type="dxa"/>
            <w:noWrap/>
            <w:vAlign w:val="center"/>
            <w:hideMark/>
          </w:tcPr>
          <w:p w:rsidRPr="00B514C6" w:rsidR="00B514C6" w:rsidP="00B514C6" w:rsidRDefault="00B514C6" w14:paraId="40BE3485" w14:textId="77777777">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8"/>
                <w:szCs w:val="28"/>
              </w:rPr>
            </w:pPr>
            <w:r w:rsidRPr="00B514C6">
              <w:rPr>
                <w:rFonts w:asciiTheme="majorHAnsi" w:hAnsiTheme="majorHAnsi" w:cstheme="majorHAnsi"/>
                <w:sz w:val="28"/>
                <w:szCs w:val="28"/>
              </w:rPr>
              <w:t>2019</w:t>
            </w:r>
          </w:p>
        </w:tc>
        <w:tc>
          <w:tcPr>
            <w:tcW w:w="960" w:type="dxa"/>
            <w:noWrap/>
            <w:vAlign w:val="center"/>
            <w:hideMark/>
          </w:tcPr>
          <w:p w:rsidRPr="00B514C6" w:rsidR="00B514C6" w:rsidP="00B514C6" w:rsidRDefault="00B514C6" w14:paraId="5BF196F3" w14:textId="77777777">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8"/>
                <w:szCs w:val="28"/>
              </w:rPr>
            </w:pPr>
            <w:r w:rsidRPr="00B514C6">
              <w:rPr>
                <w:rFonts w:asciiTheme="majorHAnsi" w:hAnsiTheme="majorHAnsi" w:cstheme="majorHAnsi"/>
                <w:sz w:val="28"/>
                <w:szCs w:val="28"/>
              </w:rPr>
              <w:t>2020</w:t>
            </w:r>
          </w:p>
        </w:tc>
      </w:tr>
      <w:tr w:rsidRPr="00B514C6" w:rsidR="00B514C6" w:rsidTr="00B514C6" w14:paraId="18A9BF84" w14:textId="77777777">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39" w:type="dxa"/>
            <w:noWrap/>
            <w:vAlign w:val="center"/>
            <w:hideMark/>
          </w:tcPr>
          <w:p w:rsidRPr="00B514C6" w:rsidR="00B514C6" w:rsidP="00B514C6" w:rsidRDefault="00B514C6" w14:paraId="44AF3139" w14:textId="77777777">
            <w:pPr>
              <w:spacing w:after="160" w:line="259" w:lineRule="auto"/>
              <w:jc w:val="center"/>
              <w:rPr>
                <w:rFonts w:asciiTheme="majorHAnsi" w:hAnsiTheme="majorHAnsi" w:cstheme="majorHAnsi"/>
                <w:sz w:val="28"/>
                <w:szCs w:val="28"/>
              </w:rPr>
            </w:pPr>
            <w:r w:rsidRPr="00B514C6">
              <w:rPr>
                <w:rFonts w:asciiTheme="majorHAnsi" w:hAnsiTheme="majorHAnsi" w:cstheme="majorHAnsi"/>
                <w:sz w:val="28"/>
                <w:szCs w:val="28"/>
              </w:rPr>
              <w:t>Ιανουάριος</w:t>
            </w:r>
          </w:p>
        </w:tc>
        <w:tc>
          <w:tcPr>
            <w:tcW w:w="960" w:type="dxa"/>
            <w:noWrap/>
            <w:vAlign w:val="center"/>
            <w:hideMark/>
          </w:tcPr>
          <w:p w:rsidRPr="00B514C6" w:rsidR="00B514C6" w:rsidP="00B514C6" w:rsidRDefault="00B514C6" w14:paraId="10002F00" w14:textId="77777777">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8"/>
                <w:szCs w:val="28"/>
              </w:rPr>
            </w:pPr>
            <w:r w:rsidRPr="00B514C6">
              <w:rPr>
                <w:rFonts w:asciiTheme="majorHAnsi" w:hAnsiTheme="majorHAnsi" w:cstheme="majorHAnsi"/>
                <w:sz w:val="28"/>
                <w:szCs w:val="28"/>
              </w:rPr>
              <w:t>19</w:t>
            </w:r>
          </w:p>
        </w:tc>
        <w:tc>
          <w:tcPr>
            <w:tcW w:w="960" w:type="dxa"/>
            <w:noWrap/>
            <w:vAlign w:val="center"/>
            <w:hideMark/>
          </w:tcPr>
          <w:p w:rsidRPr="00B514C6" w:rsidR="00B514C6" w:rsidP="00B514C6" w:rsidRDefault="00B514C6" w14:paraId="7217DDED" w14:textId="77777777">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8"/>
                <w:szCs w:val="28"/>
              </w:rPr>
            </w:pPr>
            <w:r w:rsidRPr="00B514C6">
              <w:rPr>
                <w:rFonts w:asciiTheme="majorHAnsi" w:hAnsiTheme="majorHAnsi" w:cstheme="majorHAnsi"/>
                <w:sz w:val="28"/>
                <w:szCs w:val="28"/>
              </w:rPr>
              <w:t>53</w:t>
            </w:r>
          </w:p>
        </w:tc>
      </w:tr>
      <w:tr w:rsidRPr="00B514C6" w:rsidR="00B514C6" w:rsidTr="00B514C6" w14:paraId="5C6069F1" w14:textId="77777777">
        <w:trPr>
          <w:trHeight w:val="288"/>
          <w:jc w:val="center"/>
        </w:trPr>
        <w:tc>
          <w:tcPr>
            <w:cnfStyle w:val="001000000000" w:firstRow="0" w:lastRow="0" w:firstColumn="1" w:lastColumn="0" w:oddVBand="0" w:evenVBand="0" w:oddHBand="0" w:evenHBand="0" w:firstRowFirstColumn="0" w:firstRowLastColumn="0" w:lastRowFirstColumn="0" w:lastRowLastColumn="0"/>
            <w:tcW w:w="2039" w:type="dxa"/>
            <w:noWrap/>
            <w:vAlign w:val="center"/>
            <w:hideMark/>
          </w:tcPr>
          <w:p w:rsidRPr="00B514C6" w:rsidR="00B514C6" w:rsidP="00B514C6" w:rsidRDefault="00B514C6" w14:paraId="4324EC84" w14:textId="77777777">
            <w:pPr>
              <w:spacing w:after="160" w:line="259" w:lineRule="auto"/>
              <w:jc w:val="center"/>
              <w:rPr>
                <w:rFonts w:asciiTheme="majorHAnsi" w:hAnsiTheme="majorHAnsi" w:cstheme="majorHAnsi"/>
                <w:sz w:val="28"/>
                <w:szCs w:val="28"/>
              </w:rPr>
            </w:pPr>
            <w:r w:rsidRPr="00B514C6">
              <w:rPr>
                <w:rFonts w:asciiTheme="majorHAnsi" w:hAnsiTheme="majorHAnsi" w:cstheme="majorHAnsi"/>
                <w:sz w:val="28"/>
                <w:szCs w:val="28"/>
              </w:rPr>
              <w:t>Φεβρουάριος</w:t>
            </w:r>
          </w:p>
        </w:tc>
        <w:tc>
          <w:tcPr>
            <w:tcW w:w="960" w:type="dxa"/>
            <w:noWrap/>
            <w:vAlign w:val="center"/>
            <w:hideMark/>
          </w:tcPr>
          <w:p w:rsidRPr="00B514C6" w:rsidR="00B514C6" w:rsidP="00B514C6" w:rsidRDefault="00B514C6" w14:paraId="7A925B51" w14:textId="77777777">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8"/>
                <w:szCs w:val="28"/>
              </w:rPr>
            </w:pPr>
            <w:r w:rsidRPr="00B514C6">
              <w:rPr>
                <w:rFonts w:asciiTheme="majorHAnsi" w:hAnsiTheme="majorHAnsi" w:cstheme="majorHAnsi"/>
                <w:sz w:val="28"/>
                <w:szCs w:val="28"/>
              </w:rPr>
              <w:t>13</w:t>
            </w:r>
          </w:p>
        </w:tc>
        <w:tc>
          <w:tcPr>
            <w:tcW w:w="960" w:type="dxa"/>
            <w:noWrap/>
            <w:vAlign w:val="center"/>
            <w:hideMark/>
          </w:tcPr>
          <w:p w:rsidRPr="00B514C6" w:rsidR="00B514C6" w:rsidP="00B514C6" w:rsidRDefault="00B514C6" w14:paraId="5BC62AAF" w14:textId="77777777">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8"/>
                <w:szCs w:val="28"/>
              </w:rPr>
            </w:pPr>
            <w:r w:rsidRPr="00B514C6">
              <w:rPr>
                <w:rFonts w:asciiTheme="majorHAnsi" w:hAnsiTheme="majorHAnsi" w:cstheme="majorHAnsi"/>
                <w:sz w:val="28"/>
                <w:szCs w:val="28"/>
              </w:rPr>
              <w:t>63</w:t>
            </w:r>
          </w:p>
        </w:tc>
      </w:tr>
      <w:tr w:rsidRPr="00B514C6" w:rsidR="00B514C6" w:rsidTr="00B514C6" w14:paraId="37C11337" w14:textId="77777777">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39" w:type="dxa"/>
            <w:noWrap/>
            <w:vAlign w:val="center"/>
            <w:hideMark/>
          </w:tcPr>
          <w:p w:rsidRPr="00B514C6" w:rsidR="00B514C6" w:rsidP="00B514C6" w:rsidRDefault="00B514C6" w14:paraId="79CD31BE" w14:textId="77777777">
            <w:pPr>
              <w:spacing w:after="160" w:line="259" w:lineRule="auto"/>
              <w:jc w:val="center"/>
              <w:rPr>
                <w:rFonts w:asciiTheme="majorHAnsi" w:hAnsiTheme="majorHAnsi" w:cstheme="majorHAnsi"/>
                <w:sz w:val="28"/>
                <w:szCs w:val="28"/>
              </w:rPr>
            </w:pPr>
            <w:r w:rsidRPr="00B514C6">
              <w:rPr>
                <w:rFonts w:asciiTheme="majorHAnsi" w:hAnsiTheme="majorHAnsi" w:cstheme="majorHAnsi"/>
                <w:sz w:val="28"/>
                <w:szCs w:val="28"/>
              </w:rPr>
              <w:t>Μάρτιος</w:t>
            </w:r>
          </w:p>
        </w:tc>
        <w:tc>
          <w:tcPr>
            <w:tcW w:w="960" w:type="dxa"/>
            <w:noWrap/>
            <w:vAlign w:val="center"/>
            <w:hideMark/>
          </w:tcPr>
          <w:p w:rsidRPr="00B514C6" w:rsidR="00B514C6" w:rsidP="00B514C6" w:rsidRDefault="00B514C6" w14:paraId="4FFA3524" w14:textId="77777777">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8"/>
                <w:szCs w:val="28"/>
              </w:rPr>
            </w:pPr>
            <w:r w:rsidRPr="00B514C6">
              <w:rPr>
                <w:rFonts w:asciiTheme="majorHAnsi" w:hAnsiTheme="majorHAnsi" w:cstheme="majorHAnsi"/>
                <w:sz w:val="28"/>
                <w:szCs w:val="28"/>
              </w:rPr>
              <w:t>5</w:t>
            </w:r>
          </w:p>
        </w:tc>
        <w:tc>
          <w:tcPr>
            <w:tcW w:w="960" w:type="dxa"/>
            <w:noWrap/>
            <w:vAlign w:val="center"/>
            <w:hideMark/>
          </w:tcPr>
          <w:p w:rsidRPr="00B514C6" w:rsidR="00B514C6" w:rsidP="00B514C6" w:rsidRDefault="00B514C6" w14:paraId="4CD58E4E" w14:textId="77777777">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8"/>
                <w:szCs w:val="28"/>
              </w:rPr>
            </w:pPr>
            <w:r w:rsidRPr="00B514C6">
              <w:rPr>
                <w:rFonts w:asciiTheme="majorHAnsi" w:hAnsiTheme="majorHAnsi" w:cstheme="majorHAnsi"/>
                <w:sz w:val="28"/>
                <w:szCs w:val="28"/>
              </w:rPr>
              <w:t>23</w:t>
            </w:r>
          </w:p>
        </w:tc>
      </w:tr>
      <w:tr w:rsidRPr="00B514C6" w:rsidR="00B514C6" w:rsidTr="00B514C6" w14:paraId="3260239A" w14:textId="77777777">
        <w:trPr>
          <w:trHeight w:val="288"/>
          <w:jc w:val="center"/>
        </w:trPr>
        <w:tc>
          <w:tcPr>
            <w:cnfStyle w:val="001000000000" w:firstRow="0" w:lastRow="0" w:firstColumn="1" w:lastColumn="0" w:oddVBand="0" w:evenVBand="0" w:oddHBand="0" w:evenHBand="0" w:firstRowFirstColumn="0" w:firstRowLastColumn="0" w:lastRowFirstColumn="0" w:lastRowLastColumn="0"/>
            <w:tcW w:w="2039" w:type="dxa"/>
            <w:noWrap/>
            <w:vAlign w:val="center"/>
            <w:hideMark/>
          </w:tcPr>
          <w:p w:rsidRPr="00B514C6" w:rsidR="00B514C6" w:rsidP="00B514C6" w:rsidRDefault="00B514C6" w14:paraId="050AE666" w14:textId="77777777">
            <w:pPr>
              <w:spacing w:after="160" w:line="259" w:lineRule="auto"/>
              <w:jc w:val="center"/>
              <w:rPr>
                <w:rFonts w:asciiTheme="majorHAnsi" w:hAnsiTheme="majorHAnsi" w:cstheme="majorHAnsi"/>
                <w:sz w:val="28"/>
                <w:szCs w:val="28"/>
              </w:rPr>
            </w:pPr>
            <w:r w:rsidRPr="00B514C6">
              <w:rPr>
                <w:rFonts w:asciiTheme="majorHAnsi" w:hAnsiTheme="majorHAnsi" w:cstheme="majorHAnsi"/>
                <w:sz w:val="28"/>
                <w:szCs w:val="28"/>
              </w:rPr>
              <w:t>Απρίλιος</w:t>
            </w:r>
          </w:p>
        </w:tc>
        <w:tc>
          <w:tcPr>
            <w:tcW w:w="960" w:type="dxa"/>
            <w:noWrap/>
            <w:vAlign w:val="center"/>
            <w:hideMark/>
          </w:tcPr>
          <w:p w:rsidRPr="00B514C6" w:rsidR="00B514C6" w:rsidP="00B514C6" w:rsidRDefault="00B514C6" w14:paraId="0E357A20" w14:textId="77777777">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8"/>
                <w:szCs w:val="28"/>
              </w:rPr>
            </w:pPr>
            <w:r w:rsidRPr="00B514C6">
              <w:rPr>
                <w:rFonts w:asciiTheme="majorHAnsi" w:hAnsiTheme="majorHAnsi" w:cstheme="majorHAnsi"/>
                <w:sz w:val="28"/>
                <w:szCs w:val="28"/>
              </w:rPr>
              <w:t>10</w:t>
            </w:r>
          </w:p>
        </w:tc>
        <w:tc>
          <w:tcPr>
            <w:tcW w:w="960" w:type="dxa"/>
            <w:noWrap/>
            <w:vAlign w:val="center"/>
            <w:hideMark/>
          </w:tcPr>
          <w:p w:rsidRPr="00B514C6" w:rsidR="00B514C6" w:rsidP="00B514C6" w:rsidRDefault="00B514C6" w14:paraId="349AD167" w14:textId="77777777">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8"/>
                <w:szCs w:val="28"/>
              </w:rPr>
            </w:pPr>
            <w:r w:rsidRPr="00B514C6">
              <w:rPr>
                <w:rFonts w:asciiTheme="majorHAnsi" w:hAnsiTheme="majorHAnsi" w:cstheme="majorHAnsi"/>
                <w:sz w:val="28"/>
                <w:szCs w:val="28"/>
              </w:rPr>
              <w:t>0</w:t>
            </w:r>
          </w:p>
        </w:tc>
      </w:tr>
      <w:tr w:rsidRPr="00B514C6" w:rsidR="00B514C6" w:rsidTr="00B514C6" w14:paraId="1D83ADC7" w14:textId="77777777">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39" w:type="dxa"/>
            <w:noWrap/>
            <w:vAlign w:val="center"/>
            <w:hideMark/>
          </w:tcPr>
          <w:p w:rsidRPr="00B514C6" w:rsidR="00B514C6" w:rsidP="00B514C6" w:rsidRDefault="00B514C6" w14:paraId="2D4293DA" w14:textId="77777777">
            <w:pPr>
              <w:spacing w:after="160" w:line="259" w:lineRule="auto"/>
              <w:jc w:val="center"/>
              <w:rPr>
                <w:rFonts w:asciiTheme="majorHAnsi" w:hAnsiTheme="majorHAnsi" w:cstheme="majorHAnsi"/>
                <w:sz w:val="28"/>
                <w:szCs w:val="28"/>
              </w:rPr>
            </w:pPr>
            <w:r w:rsidRPr="00B514C6">
              <w:rPr>
                <w:rFonts w:asciiTheme="majorHAnsi" w:hAnsiTheme="majorHAnsi" w:cstheme="majorHAnsi"/>
                <w:sz w:val="28"/>
                <w:szCs w:val="28"/>
              </w:rPr>
              <w:t>Μάιος</w:t>
            </w:r>
          </w:p>
        </w:tc>
        <w:tc>
          <w:tcPr>
            <w:tcW w:w="960" w:type="dxa"/>
            <w:noWrap/>
            <w:vAlign w:val="center"/>
            <w:hideMark/>
          </w:tcPr>
          <w:p w:rsidRPr="00B514C6" w:rsidR="00B514C6" w:rsidP="00B514C6" w:rsidRDefault="00B514C6" w14:paraId="6E2EE1EB" w14:textId="77777777">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8"/>
                <w:szCs w:val="28"/>
              </w:rPr>
            </w:pPr>
            <w:r w:rsidRPr="00B514C6">
              <w:rPr>
                <w:rFonts w:asciiTheme="majorHAnsi" w:hAnsiTheme="majorHAnsi" w:cstheme="majorHAnsi"/>
                <w:sz w:val="28"/>
                <w:szCs w:val="28"/>
              </w:rPr>
              <w:t>14</w:t>
            </w:r>
          </w:p>
        </w:tc>
        <w:tc>
          <w:tcPr>
            <w:tcW w:w="960" w:type="dxa"/>
            <w:noWrap/>
            <w:vAlign w:val="center"/>
            <w:hideMark/>
          </w:tcPr>
          <w:p w:rsidRPr="00B514C6" w:rsidR="00B514C6" w:rsidP="00B514C6" w:rsidRDefault="00B514C6" w14:paraId="179DD867" w14:textId="77777777">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8"/>
                <w:szCs w:val="28"/>
              </w:rPr>
            </w:pPr>
            <w:r w:rsidRPr="00B514C6">
              <w:rPr>
                <w:rFonts w:asciiTheme="majorHAnsi" w:hAnsiTheme="majorHAnsi" w:cstheme="majorHAnsi"/>
                <w:sz w:val="28"/>
                <w:szCs w:val="28"/>
              </w:rPr>
              <w:t>0</w:t>
            </w:r>
          </w:p>
        </w:tc>
      </w:tr>
      <w:tr w:rsidRPr="00B514C6" w:rsidR="00B514C6" w:rsidTr="00B514C6" w14:paraId="798BE7A3" w14:textId="77777777">
        <w:trPr>
          <w:trHeight w:val="288"/>
          <w:jc w:val="center"/>
        </w:trPr>
        <w:tc>
          <w:tcPr>
            <w:cnfStyle w:val="001000000000" w:firstRow="0" w:lastRow="0" w:firstColumn="1" w:lastColumn="0" w:oddVBand="0" w:evenVBand="0" w:oddHBand="0" w:evenHBand="0" w:firstRowFirstColumn="0" w:firstRowLastColumn="0" w:lastRowFirstColumn="0" w:lastRowLastColumn="0"/>
            <w:tcW w:w="2039" w:type="dxa"/>
            <w:noWrap/>
            <w:vAlign w:val="center"/>
            <w:hideMark/>
          </w:tcPr>
          <w:p w:rsidRPr="00B514C6" w:rsidR="00B514C6" w:rsidP="00B514C6" w:rsidRDefault="00B514C6" w14:paraId="5FAE7446" w14:textId="77777777">
            <w:pPr>
              <w:spacing w:after="160" w:line="259" w:lineRule="auto"/>
              <w:jc w:val="center"/>
              <w:rPr>
                <w:rFonts w:asciiTheme="majorHAnsi" w:hAnsiTheme="majorHAnsi" w:cstheme="majorHAnsi"/>
                <w:sz w:val="28"/>
                <w:szCs w:val="28"/>
              </w:rPr>
            </w:pPr>
            <w:r w:rsidRPr="00B514C6">
              <w:rPr>
                <w:rFonts w:asciiTheme="majorHAnsi" w:hAnsiTheme="majorHAnsi" w:cstheme="majorHAnsi"/>
                <w:sz w:val="28"/>
                <w:szCs w:val="28"/>
              </w:rPr>
              <w:t>Ιούνιος</w:t>
            </w:r>
          </w:p>
        </w:tc>
        <w:tc>
          <w:tcPr>
            <w:tcW w:w="960" w:type="dxa"/>
            <w:noWrap/>
            <w:vAlign w:val="center"/>
            <w:hideMark/>
          </w:tcPr>
          <w:p w:rsidRPr="00B514C6" w:rsidR="00B514C6" w:rsidP="00B514C6" w:rsidRDefault="00B514C6" w14:paraId="42AF781F" w14:textId="77777777">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8"/>
                <w:szCs w:val="28"/>
              </w:rPr>
            </w:pPr>
            <w:r w:rsidRPr="00B514C6">
              <w:rPr>
                <w:rFonts w:asciiTheme="majorHAnsi" w:hAnsiTheme="majorHAnsi" w:cstheme="majorHAnsi"/>
                <w:sz w:val="28"/>
                <w:szCs w:val="28"/>
              </w:rPr>
              <w:t>18</w:t>
            </w:r>
          </w:p>
        </w:tc>
        <w:tc>
          <w:tcPr>
            <w:tcW w:w="960" w:type="dxa"/>
            <w:noWrap/>
            <w:vAlign w:val="center"/>
            <w:hideMark/>
          </w:tcPr>
          <w:p w:rsidRPr="00B514C6" w:rsidR="00B514C6" w:rsidP="00B514C6" w:rsidRDefault="00B514C6" w14:paraId="60A01D2B" w14:textId="77777777">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8"/>
                <w:szCs w:val="28"/>
              </w:rPr>
            </w:pPr>
            <w:r w:rsidRPr="00B514C6">
              <w:rPr>
                <w:rFonts w:asciiTheme="majorHAnsi" w:hAnsiTheme="majorHAnsi" w:cstheme="majorHAnsi"/>
                <w:sz w:val="28"/>
                <w:szCs w:val="28"/>
              </w:rPr>
              <w:t>0</w:t>
            </w:r>
          </w:p>
        </w:tc>
      </w:tr>
      <w:tr w:rsidRPr="00B514C6" w:rsidR="00B514C6" w:rsidTr="00B514C6" w14:paraId="751C6F46" w14:textId="77777777">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39" w:type="dxa"/>
            <w:noWrap/>
            <w:vAlign w:val="center"/>
            <w:hideMark/>
          </w:tcPr>
          <w:p w:rsidRPr="00B514C6" w:rsidR="00B514C6" w:rsidP="00B514C6" w:rsidRDefault="00B514C6" w14:paraId="0742636F" w14:textId="77777777">
            <w:pPr>
              <w:spacing w:after="160" w:line="259" w:lineRule="auto"/>
              <w:jc w:val="center"/>
              <w:rPr>
                <w:rFonts w:asciiTheme="majorHAnsi" w:hAnsiTheme="majorHAnsi" w:cstheme="majorHAnsi"/>
                <w:sz w:val="28"/>
                <w:szCs w:val="28"/>
              </w:rPr>
            </w:pPr>
            <w:r w:rsidRPr="00B514C6">
              <w:rPr>
                <w:rFonts w:asciiTheme="majorHAnsi" w:hAnsiTheme="majorHAnsi" w:cstheme="majorHAnsi"/>
                <w:sz w:val="28"/>
                <w:szCs w:val="28"/>
              </w:rPr>
              <w:t>ΑΘΡΟΙΣΜΑ</w:t>
            </w:r>
          </w:p>
        </w:tc>
        <w:tc>
          <w:tcPr>
            <w:tcW w:w="960" w:type="dxa"/>
            <w:noWrap/>
            <w:vAlign w:val="center"/>
            <w:hideMark/>
          </w:tcPr>
          <w:p w:rsidRPr="00B514C6" w:rsidR="00B514C6" w:rsidP="00B514C6" w:rsidRDefault="00B514C6" w14:paraId="18ED5FAF" w14:textId="77777777">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8"/>
                <w:szCs w:val="28"/>
              </w:rPr>
            </w:pPr>
            <w:r w:rsidRPr="00B514C6">
              <w:rPr>
                <w:rFonts w:asciiTheme="majorHAnsi" w:hAnsiTheme="majorHAnsi" w:cstheme="majorHAnsi"/>
                <w:sz w:val="28"/>
                <w:szCs w:val="28"/>
              </w:rPr>
              <w:t>79</w:t>
            </w:r>
          </w:p>
        </w:tc>
        <w:tc>
          <w:tcPr>
            <w:tcW w:w="960" w:type="dxa"/>
            <w:noWrap/>
            <w:vAlign w:val="center"/>
            <w:hideMark/>
          </w:tcPr>
          <w:p w:rsidRPr="00B514C6" w:rsidR="00B514C6" w:rsidP="00B514C6" w:rsidRDefault="00B514C6" w14:paraId="657C858D" w14:textId="77777777">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8"/>
                <w:szCs w:val="28"/>
              </w:rPr>
            </w:pPr>
            <w:r w:rsidRPr="00B514C6">
              <w:rPr>
                <w:rFonts w:asciiTheme="majorHAnsi" w:hAnsiTheme="majorHAnsi" w:cstheme="majorHAnsi"/>
                <w:sz w:val="28"/>
                <w:szCs w:val="28"/>
              </w:rPr>
              <w:t>139</w:t>
            </w:r>
          </w:p>
        </w:tc>
      </w:tr>
      <w:tr w:rsidRPr="00B514C6" w:rsidR="00B514C6" w:rsidTr="00B514C6" w14:paraId="3A727737" w14:textId="77777777">
        <w:trPr>
          <w:trHeight w:val="288"/>
          <w:jc w:val="center"/>
        </w:trPr>
        <w:tc>
          <w:tcPr>
            <w:cnfStyle w:val="001000000000" w:firstRow="0" w:lastRow="0" w:firstColumn="1" w:lastColumn="0" w:oddVBand="0" w:evenVBand="0" w:oddHBand="0" w:evenHBand="0" w:firstRowFirstColumn="0" w:firstRowLastColumn="0" w:lastRowFirstColumn="0" w:lastRowLastColumn="0"/>
            <w:tcW w:w="2039" w:type="dxa"/>
            <w:noWrap/>
            <w:vAlign w:val="center"/>
            <w:hideMark/>
          </w:tcPr>
          <w:p w:rsidRPr="00B514C6" w:rsidR="00B514C6" w:rsidP="00B514C6" w:rsidRDefault="00B514C6" w14:paraId="5EE5D6B3" w14:textId="77777777">
            <w:pPr>
              <w:spacing w:after="160" w:line="259" w:lineRule="auto"/>
              <w:jc w:val="center"/>
              <w:rPr>
                <w:rFonts w:asciiTheme="majorHAnsi" w:hAnsiTheme="majorHAnsi" w:cstheme="majorHAnsi"/>
                <w:sz w:val="28"/>
                <w:szCs w:val="28"/>
              </w:rPr>
            </w:pPr>
            <w:r w:rsidRPr="00B514C6">
              <w:rPr>
                <w:rFonts w:asciiTheme="majorHAnsi" w:hAnsiTheme="majorHAnsi" w:cstheme="majorHAnsi"/>
                <w:sz w:val="28"/>
                <w:szCs w:val="28"/>
              </w:rPr>
              <w:t>ΔΙΑΦΟΡΑ ΕΞΑΜΗΝΩΝ</w:t>
            </w:r>
          </w:p>
        </w:tc>
        <w:tc>
          <w:tcPr>
            <w:tcW w:w="1920" w:type="dxa"/>
            <w:gridSpan w:val="2"/>
            <w:noWrap/>
            <w:vAlign w:val="center"/>
            <w:hideMark/>
          </w:tcPr>
          <w:p w:rsidRPr="00B514C6" w:rsidR="00B514C6" w:rsidP="00B514C6" w:rsidRDefault="00B514C6" w14:paraId="326A7E0D" w14:textId="77777777">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8"/>
                <w:szCs w:val="28"/>
              </w:rPr>
            </w:pPr>
            <w:r w:rsidRPr="00B514C6">
              <w:rPr>
                <w:rFonts w:asciiTheme="majorHAnsi" w:hAnsiTheme="majorHAnsi" w:cstheme="majorHAnsi"/>
                <w:sz w:val="28"/>
                <w:szCs w:val="28"/>
              </w:rPr>
              <w:t>75,9%</w:t>
            </w:r>
          </w:p>
        </w:tc>
      </w:tr>
    </w:tbl>
    <w:p w:rsidR="1D30E5D1" w:rsidP="1D30E5D1" w:rsidRDefault="1D30E5D1" w14:paraId="75DB0B84" w14:textId="2985D304">
      <w:pPr>
        <w:spacing w:after="160" w:line="259" w:lineRule="auto"/>
        <w:jc w:val="both"/>
        <w:rPr>
          <w:rFonts w:eastAsia="Calibri" w:asciiTheme="majorHAnsi" w:hAnsiTheme="majorHAnsi" w:cstheme="majorBidi"/>
          <w:color w:val="FF0000"/>
          <w:sz w:val="28"/>
          <w:szCs w:val="28"/>
          <w:highlight w:val="yellow"/>
          <w:lang w:eastAsia="en-US"/>
        </w:rPr>
      </w:pPr>
    </w:p>
    <w:p w:rsidRPr="0026054C" w:rsidR="003657C0" w:rsidP="003657C0" w:rsidRDefault="003657C0" w14:paraId="1B6CCDFD" w14:textId="77777777">
      <w:pPr>
        <w:numPr>
          <w:ilvl w:val="0"/>
          <w:numId w:val="2"/>
        </w:numPr>
        <w:spacing w:after="160" w:line="259" w:lineRule="auto"/>
        <w:contextualSpacing/>
        <w:jc w:val="both"/>
        <w:rPr>
          <w:rFonts w:eastAsia="Calibri" w:asciiTheme="majorHAnsi" w:hAnsiTheme="majorHAnsi" w:cstheme="majorHAnsi"/>
          <w:b/>
          <w:bCs/>
          <w:sz w:val="28"/>
          <w:szCs w:val="28"/>
          <w:lang w:eastAsia="en-US"/>
        </w:rPr>
      </w:pPr>
      <w:r w:rsidRPr="0026054C">
        <w:rPr>
          <w:rFonts w:eastAsia="Calibri" w:asciiTheme="majorHAnsi" w:hAnsiTheme="majorHAnsi" w:cstheme="majorHAnsi"/>
          <w:b/>
          <w:bCs/>
          <w:sz w:val="28"/>
          <w:szCs w:val="28"/>
          <w:lang w:eastAsia="en-US"/>
        </w:rPr>
        <w:t xml:space="preserve">Επιστροφές στην Τουρκία </w:t>
      </w:r>
    </w:p>
    <w:p w:rsidRPr="0026054C" w:rsidR="003657C0" w:rsidP="68557CEB" w:rsidRDefault="003657C0" w14:paraId="38273628" w14:textId="15071BCB">
      <w:pPr>
        <w:spacing w:after="160" w:line="259" w:lineRule="auto"/>
        <w:jc w:val="both"/>
        <w:rPr>
          <w:rFonts w:ascii="Calibri" w:hAnsi="Calibri" w:eastAsia="Calibri" w:cs="Calibri" w:asciiTheme="majorAscii" w:hAnsiTheme="majorAscii" w:cstheme="majorAscii"/>
          <w:sz w:val="28"/>
          <w:szCs w:val="28"/>
          <w:lang w:eastAsia="en-US"/>
        </w:rPr>
      </w:pPr>
      <w:r w:rsidRPr="68557CEB" w:rsidR="003657C0">
        <w:rPr>
          <w:rFonts w:ascii="Calibri" w:hAnsi="Calibri" w:eastAsia="Calibri" w:cs="Calibri" w:asciiTheme="majorAscii" w:hAnsiTheme="majorAscii" w:cstheme="majorAscii"/>
          <w:sz w:val="28"/>
          <w:szCs w:val="28"/>
          <w:lang w:eastAsia="en-US"/>
        </w:rPr>
        <w:t xml:space="preserve">Το νομικό πλαίσιο, όπως αναλύθηκε παραπάνω, διέπει όλες τις επιστροφές που πραγματοποιούνται προς τη γείτονα χώρα. Σημειώνεται ότι, παρά την επίσημη επαναλειτουργία των ελληνοτουρκικών συνόρων, δεν έχουν ακόμη γίνει δεκτά τα αιτήματα αποστολών </w:t>
      </w:r>
      <w:r w:rsidRPr="68557CEB" w:rsidR="17C9A5A4">
        <w:rPr>
          <w:rFonts w:ascii="Calibri" w:hAnsi="Calibri" w:eastAsia="Calibri" w:cs="Calibri" w:asciiTheme="majorAscii" w:hAnsiTheme="majorAscii" w:cstheme="majorAscii"/>
          <w:sz w:val="28"/>
          <w:szCs w:val="28"/>
          <w:lang w:eastAsia="en-US"/>
        </w:rPr>
        <w:t xml:space="preserve">- </w:t>
      </w:r>
      <w:r w:rsidRPr="68557CEB" w:rsidR="003657C0">
        <w:rPr>
          <w:rFonts w:ascii="Calibri" w:hAnsi="Calibri" w:eastAsia="Calibri" w:cs="Calibri" w:asciiTheme="majorAscii" w:hAnsiTheme="majorAscii" w:cstheme="majorAscii"/>
          <w:sz w:val="28"/>
          <w:szCs w:val="28"/>
          <w:lang w:eastAsia="en-US"/>
        </w:rPr>
        <w:t>επιστροφών των ελληνικών αρχών.</w:t>
      </w:r>
    </w:p>
    <w:p w:rsidRPr="0026054C" w:rsidR="00C250C9" w:rsidP="3AA1E870" w:rsidRDefault="288A9BAD" w14:paraId="53556ECD" w14:textId="77777777">
      <w:pPr>
        <w:spacing w:after="160" w:line="259" w:lineRule="auto"/>
        <w:jc w:val="both"/>
        <w:rPr>
          <w:rFonts w:eastAsia="Calibri" w:asciiTheme="majorHAnsi" w:hAnsiTheme="majorHAnsi" w:cstheme="majorBidi"/>
          <w:sz w:val="28"/>
          <w:szCs w:val="28"/>
          <w:lang w:eastAsia="en-US"/>
        </w:rPr>
      </w:pPr>
      <w:r w:rsidRPr="3AA1E870">
        <w:rPr>
          <w:rFonts w:eastAsia="Calibri" w:asciiTheme="majorHAnsi" w:hAnsiTheme="majorHAnsi" w:cstheme="majorBidi"/>
          <w:sz w:val="28"/>
          <w:szCs w:val="28"/>
          <w:lang w:eastAsia="en-US"/>
        </w:rPr>
        <w:t xml:space="preserve">Ειδικότερα, βάσει του διμερούς Πρωτόκολλου </w:t>
      </w:r>
      <w:proofErr w:type="spellStart"/>
      <w:r w:rsidRPr="3AA1E870">
        <w:rPr>
          <w:rFonts w:eastAsia="Calibri" w:asciiTheme="majorHAnsi" w:hAnsiTheme="majorHAnsi" w:cstheme="majorBidi"/>
          <w:sz w:val="28"/>
          <w:szCs w:val="28"/>
          <w:lang w:eastAsia="en-US"/>
        </w:rPr>
        <w:t>Επανεισδοχής</w:t>
      </w:r>
      <w:proofErr w:type="spellEnd"/>
      <w:r w:rsidRPr="3AA1E870">
        <w:rPr>
          <w:rFonts w:eastAsia="Calibri" w:asciiTheme="majorHAnsi" w:hAnsiTheme="majorHAnsi" w:cstheme="majorBidi"/>
          <w:sz w:val="28"/>
          <w:szCs w:val="28"/>
          <w:lang w:eastAsia="en-US"/>
        </w:rPr>
        <w:t xml:space="preserve"> Ελλάδας-Τουρκίας και της Συμφωνίας </w:t>
      </w:r>
      <w:proofErr w:type="spellStart"/>
      <w:r w:rsidRPr="3AA1E870">
        <w:rPr>
          <w:rFonts w:eastAsia="Calibri" w:asciiTheme="majorHAnsi" w:hAnsiTheme="majorHAnsi" w:cstheme="majorBidi"/>
          <w:sz w:val="28"/>
          <w:szCs w:val="28"/>
          <w:lang w:eastAsia="en-US"/>
        </w:rPr>
        <w:t>Επανεισδοχής</w:t>
      </w:r>
      <w:proofErr w:type="spellEnd"/>
      <w:r w:rsidRPr="3AA1E870">
        <w:rPr>
          <w:rFonts w:eastAsia="Calibri" w:asciiTheme="majorHAnsi" w:hAnsiTheme="majorHAnsi" w:cstheme="majorBidi"/>
          <w:sz w:val="28"/>
          <w:szCs w:val="28"/>
          <w:lang w:eastAsia="en-US"/>
        </w:rPr>
        <w:t xml:space="preserve"> Ε.Ε.-Τουρκίας, έχουν </w:t>
      </w:r>
      <w:r w:rsidRPr="3AA1E870">
        <w:rPr>
          <w:rFonts w:eastAsia="Calibri" w:asciiTheme="majorHAnsi" w:hAnsiTheme="majorHAnsi" w:cstheme="majorBidi"/>
          <w:sz w:val="28"/>
          <w:szCs w:val="28"/>
          <w:lang w:eastAsia="en-US"/>
        </w:rPr>
        <w:lastRenderedPageBreak/>
        <w:t xml:space="preserve">πραγματοποιηθεί για το πρώτο εξάμηνο συνολικά </w:t>
      </w:r>
      <w:r w:rsidRPr="3AA1E870">
        <w:rPr>
          <w:rFonts w:eastAsia="Calibri" w:asciiTheme="majorHAnsi" w:hAnsiTheme="majorHAnsi" w:cstheme="majorBidi"/>
          <w:b/>
          <w:bCs/>
          <w:sz w:val="28"/>
          <w:szCs w:val="28"/>
          <w:lang w:eastAsia="en-US"/>
        </w:rPr>
        <w:t xml:space="preserve">21 </w:t>
      </w:r>
      <w:r w:rsidRPr="3AA1E870">
        <w:rPr>
          <w:rFonts w:eastAsia="Calibri" w:asciiTheme="majorHAnsi" w:hAnsiTheme="majorHAnsi" w:cstheme="majorBidi"/>
          <w:sz w:val="28"/>
          <w:szCs w:val="28"/>
          <w:lang w:eastAsia="en-US"/>
        </w:rPr>
        <w:t>επιστροφές Τούρκων υπηκόων.</w:t>
      </w:r>
    </w:p>
    <w:p w:rsidR="5764ED48" w:rsidP="6A1AA412" w:rsidRDefault="5764ED48" w14:paraId="6A2C78AA" w14:textId="44C360D9">
      <w:pPr>
        <w:pStyle w:val="ListParagraph"/>
        <w:numPr>
          <w:ilvl w:val="0"/>
          <w:numId w:val="2"/>
        </w:numPr>
        <w:spacing w:after="160" w:line="259" w:lineRule="auto"/>
        <w:jc w:val="both"/>
        <w:rPr>
          <w:rFonts w:asciiTheme="majorHAnsi" w:hAnsiTheme="majorHAnsi" w:eastAsiaTheme="majorEastAsia" w:cstheme="majorBidi"/>
          <w:b/>
          <w:bCs/>
          <w:sz w:val="28"/>
          <w:szCs w:val="28"/>
          <w:lang w:eastAsia="en-US"/>
        </w:rPr>
      </w:pPr>
      <w:r w:rsidRPr="6A1AA412">
        <w:rPr>
          <w:rFonts w:eastAsia="Calibri" w:asciiTheme="majorHAnsi" w:hAnsiTheme="majorHAnsi" w:cstheme="majorBidi"/>
          <w:b/>
          <w:bCs/>
          <w:sz w:val="28"/>
          <w:szCs w:val="28"/>
          <w:lang w:eastAsia="en-US"/>
        </w:rPr>
        <w:t>Οικειοθελείς Αναχωρήσεις</w:t>
      </w:r>
    </w:p>
    <w:p w:rsidR="5764ED48" w:rsidP="6A1AA412" w:rsidRDefault="5764ED48" w14:paraId="19EEA3D4" w14:textId="4A4C2331">
      <w:pPr>
        <w:spacing w:after="160" w:line="259" w:lineRule="auto"/>
        <w:jc w:val="both"/>
        <w:rPr>
          <w:rFonts w:eastAsia="Calibri" w:asciiTheme="majorHAnsi" w:hAnsiTheme="majorHAnsi" w:cstheme="majorBidi"/>
          <w:b/>
          <w:bCs/>
          <w:sz w:val="28"/>
          <w:szCs w:val="28"/>
          <w:lang w:eastAsia="en-US"/>
        </w:rPr>
      </w:pPr>
      <w:r w:rsidRPr="6A1AA412">
        <w:rPr>
          <w:rFonts w:eastAsia="Calibri" w:asciiTheme="majorHAnsi" w:hAnsiTheme="majorHAnsi" w:cstheme="majorBidi"/>
          <w:sz w:val="28"/>
          <w:szCs w:val="28"/>
          <w:lang w:eastAsia="en-US"/>
        </w:rPr>
        <w:t xml:space="preserve">Το άρθρο 22 του Νόμου 3907/2011 ορίζει ότι η απόφαση επιστροφής του υπηκόου τρίτης χώρας προβλέπει κατάλληλο χρονικό διάστημα για την οικειοθελή αναχώρηση του, το οποίο κυμαίνεται μεταξύ επτά (7) και τριάντα (30) ημερών. Το χρονικό αυτό διάστημα χορηγείται αυτοδικαίως, χωρίς να απαιτείται η υποβολή αιτήσεως από τον υπήκοο τρίτης χώρας. Η χορήγηση προθεσμίας για την οικειοθελή αναχώρηση δεν αποκλείει τη δυνατότητα των υπηκόων τρίτων χωρών να αναχωρήσουν από την ελληνική επικράτεια νωρίτερα.  Οι ίδιες προθεσμίες ισχύουν και μετά από παραίτηση του αιτούντος από τη διαδικασία εξέτασης αιτήματος ασύλου. </w:t>
      </w:r>
    </w:p>
    <w:p w:rsidR="5764ED48" w:rsidP="3AA1E870" w:rsidRDefault="7EAFD31C" w14:paraId="48ADE529" w14:textId="77777777">
      <w:pPr>
        <w:spacing w:after="160" w:line="259" w:lineRule="auto"/>
        <w:jc w:val="both"/>
        <w:rPr>
          <w:rFonts w:eastAsia="Calibri" w:asciiTheme="majorHAnsi" w:hAnsiTheme="majorHAnsi" w:cstheme="majorBidi"/>
          <w:sz w:val="28"/>
          <w:szCs w:val="28"/>
          <w:lang w:eastAsia="en-US"/>
        </w:rPr>
      </w:pPr>
      <w:r w:rsidRPr="3AA1E870">
        <w:rPr>
          <w:rFonts w:eastAsia="Calibri" w:asciiTheme="majorHAnsi" w:hAnsiTheme="majorHAnsi" w:cstheme="majorBidi"/>
          <w:sz w:val="28"/>
          <w:szCs w:val="28"/>
          <w:lang w:eastAsia="en-US"/>
        </w:rPr>
        <w:t xml:space="preserve">Το Α’ Εξάμηνο του 2020, πραγματοποιήθηκαν συνολικά </w:t>
      </w:r>
      <w:r w:rsidRPr="3AA1E870">
        <w:rPr>
          <w:rFonts w:eastAsia="Calibri" w:asciiTheme="majorHAnsi" w:hAnsiTheme="majorHAnsi" w:cstheme="majorBidi"/>
          <w:b/>
          <w:bCs/>
          <w:sz w:val="28"/>
          <w:szCs w:val="28"/>
          <w:lang w:eastAsia="en-US"/>
        </w:rPr>
        <w:t xml:space="preserve">420 </w:t>
      </w:r>
      <w:r w:rsidRPr="3AA1E870">
        <w:rPr>
          <w:rFonts w:eastAsia="Calibri" w:asciiTheme="majorHAnsi" w:hAnsiTheme="majorHAnsi" w:cstheme="majorBidi"/>
          <w:sz w:val="28"/>
          <w:szCs w:val="28"/>
          <w:lang w:eastAsia="en-US"/>
        </w:rPr>
        <w:t xml:space="preserve">οικειοθελείς αναχωρήσεις μεταναστών από τη χώρα μας. </w:t>
      </w:r>
    </w:p>
    <w:tbl>
      <w:tblPr>
        <w:tblStyle w:val="GridTable5Dark-Accent1"/>
        <w:tblW w:w="0" w:type="auto"/>
        <w:jc w:val="center"/>
        <w:tblLook w:val="04A0" w:firstRow="1" w:lastRow="0" w:firstColumn="1" w:lastColumn="0" w:noHBand="0" w:noVBand="1"/>
      </w:tblPr>
      <w:tblGrid>
        <w:gridCol w:w="1000"/>
        <w:gridCol w:w="1449"/>
        <w:gridCol w:w="1144"/>
      </w:tblGrid>
      <w:tr w:rsidRPr="00CE1DE4" w:rsidR="00CE1DE4" w:rsidTr="00CE1DE4" w14:paraId="3122C906" w14:textId="77777777">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00" w:type="dxa"/>
            <w:noWrap/>
            <w:hideMark/>
          </w:tcPr>
          <w:p w:rsidRPr="00CE1DE4" w:rsidR="00CE1DE4" w:rsidP="00EC371E" w:rsidRDefault="00CE1DE4" w14:paraId="1E261277" w14:textId="77777777">
            <w:pPr>
              <w:rPr>
                <w:rFonts w:asciiTheme="majorHAnsi" w:hAnsiTheme="majorHAnsi" w:cstheme="majorHAnsi"/>
              </w:rPr>
            </w:pPr>
            <w:r w:rsidRPr="00CE1DE4">
              <w:rPr>
                <w:rFonts w:asciiTheme="majorHAnsi" w:hAnsiTheme="majorHAnsi" w:cstheme="majorHAnsi"/>
              </w:rPr>
              <w:t>ΜΗΝΑΣ</w:t>
            </w:r>
          </w:p>
        </w:tc>
        <w:tc>
          <w:tcPr>
            <w:tcW w:w="1134" w:type="dxa"/>
            <w:noWrap/>
            <w:hideMark/>
          </w:tcPr>
          <w:p w:rsidRPr="00CE1DE4" w:rsidR="00CE1DE4" w:rsidP="00EC371E" w:rsidRDefault="00CE1DE4" w14:paraId="359F18DA" w14:textId="77777777">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CE1DE4">
              <w:rPr>
                <w:rFonts w:asciiTheme="majorHAnsi" w:hAnsiTheme="majorHAnsi" w:cstheme="majorHAnsi"/>
              </w:rPr>
              <w:t>ΕΘΕΛΟΥΣΙΕΣ</w:t>
            </w:r>
          </w:p>
        </w:tc>
        <w:tc>
          <w:tcPr>
            <w:tcW w:w="960" w:type="dxa"/>
            <w:noWrap/>
            <w:hideMark/>
          </w:tcPr>
          <w:p w:rsidRPr="00CE1DE4" w:rsidR="00CE1DE4" w:rsidP="00EC371E" w:rsidRDefault="00CE1DE4" w14:paraId="338930D2" w14:textId="77777777">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CE1DE4">
              <w:rPr>
                <w:rFonts w:asciiTheme="majorHAnsi" w:hAnsiTheme="majorHAnsi" w:cstheme="majorHAnsi"/>
              </w:rPr>
              <w:t>ΣΥΝΟΛΟ 6ΜΗΝΟΥ</w:t>
            </w:r>
          </w:p>
        </w:tc>
      </w:tr>
      <w:tr w:rsidRPr="00CE1DE4" w:rsidR="00CE1DE4" w:rsidTr="00CE1DE4" w14:paraId="083D7897" w14:textId="7777777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00" w:type="dxa"/>
            <w:noWrap/>
            <w:hideMark/>
          </w:tcPr>
          <w:p w:rsidRPr="00CE1DE4" w:rsidR="00CE1DE4" w:rsidP="00EC371E" w:rsidRDefault="00CE1DE4" w14:paraId="1E86B1C4" w14:textId="77777777">
            <w:pPr>
              <w:rPr>
                <w:rFonts w:asciiTheme="majorHAnsi" w:hAnsiTheme="majorHAnsi" w:cstheme="majorHAnsi"/>
              </w:rPr>
            </w:pPr>
            <w:r w:rsidRPr="00CE1DE4">
              <w:rPr>
                <w:rFonts w:asciiTheme="majorHAnsi" w:hAnsiTheme="majorHAnsi" w:cstheme="majorHAnsi"/>
              </w:rPr>
              <w:t>Ιαν-20</w:t>
            </w:r>
          </w:p>
        </w:tc>
        <w:tc>
          <w:tcPr>
            <w:tcW w:w="1134" w:type="dxa"/>
            <w:noWrap/>
            <w:vAlign w:val="center"/>
            <w:hideMark/>
          </w:tcPr>
          <w:p w:rsidRPr="00CE1DE4" w:rsidR="00CE1DE4" w:rsidP="00EC371E" w:rsidRDefault="00CE1DE4" w14:paraId="305E63BA" w14:textId="7777777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CE1DE4">
              <w:rPr>
                <w:rFonts w:asciiTheme="majorHAnsi" w:hAnsiTheme="majorHAnsi" w:cstheme="majorHAnsi"/>
              </w:rPr>
              <w:t>81</w:t>
            </w:r>
          </w:p>
        </w:tc>
        <w:tc>
          <w:tcPr>
            <w:tcW w:w="960" w:type="dxa"/>
            <w:vMerge w:val="restart"/>
            <w:noWrap/>
            <w:vAlign w:val="center"/>
            <w:hideMark/>
          </w:tcPr>
          <w:p w:rsidRPr="00CE1DE4" w:rsidR="00CE1DE4" w:rsidP="00EC371E" w:rsidRDefault="00CE1DE4" w14:paraId="3024A0E7" w14:textId="7777777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sidRPr="00CE1DE4">
              <w:rPr>
                <w:rFonts w:asciiTheme="majorHAnsi" w:hAnsiTheme="majorHAnsi" w:cstheme="majorHAnsi"/>
                <w:b/>
                <w:bCs/>
              </w:rPr>
              <w:t>420</w:t>
            </w:r>
          </w:p>
        </w:tc>
      </w:tr>
      <w:tr w:rsidRPr="00CE1DE4" w:rsidR="00CE1DE4" w:rsidTr="00CE1DE4" w14:paraId="668E4894" w14:textId="77777777">
        <w:trPr>
          <w:trHeight w:val="300"/>
          <w:jc w:val="center"/>
        </w:trPr>
        <w:tc>
          <w:tcPr>
            <w:cnfStyle w:val="001000000000" w:firstRow="0" w:lastRow="0" w:firstColumn="1" w:lastColumn="0" w:oddVBand="0" w:evenVBand="0" w:oddHBand="0" w:evenHBand="0" w:firstRowFirstColumn="0" w:firstRowLastColumn="0" w:lastRowFirstColumn="0" w:lastRowLastColumn="0"/>
            <w:tcW w:w="1000" w:type="dxa"/>
            <w:noWrap/>
            <w:hideMark/>
          </w:tcPr>
          <w:p w:rsidRPr="00CE1DE4" w:rsidR="00CE1DE4" w:rsidP="00EC371E" w:rsidRDefault="00CE1DE4" w14:paraId="3947F4F3" w14:textId="77777777">
            <w:pPr>
              <w:rPr>
                <w:rFonts w:asciiTheme="majorHAnsi" w:hAnsiTheme="majorHAnsi" w:cstheme="majorHAnsi"/>
              </w:rPr>
            </w:pPr>
            <w:r w:rsidRPr="00CE1DE4">
              <w:rPr>
                <w:rFonts w:asciiTheme="majorHAnsi" w:hAnsiTheme="majorHAnsi" w:cstheme="majorHAnsi"/>
              </w:rPr>
              <w:t>Φεβ-20</w:t>
            </w:r>
          </w:p>
        </w:tc>
        <w:tc>
          <w:tcPr>
            <w:tcW w:w="1134" w:type="dxa"/>
            <w:noWrap/>
            <w:vAlign w:val="center"/>
            <w:hideMark/>
          </w:tcPr>
          <w:p w:rsidRPr="00CE1DE4" w:rsidR="00CE1DE4" w:rsidP="00EC371E" w:rsidRDefault="00CE1DE4" w14:paraId="188CDBAE" w14:textId="7777777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CE1DE4">
              <w:rPr>
                <w:rFonts w:asciiTheme="majorHAnsi" w:hAnsiTheme="majorHAnsi" w:cstheme="majorHAnsi"/>
              </w:rPr>
              <w:t>118</w:t>
            </w:r>
          </w:p>
        </w:tc>
        <w:tc>
          <w:tcPr>
            <w:tcW w:w="960" w:type="dxa"/>
            <w:vMerge/>
            <w:hideMark/>
          </w:tcPr>
          <w:p w:rsidRPr="00CE1DE4" w:rsidR="00CE1DE4" w:rsidP="00EC371E" w:rsidRDefault="00CE1DE4" w14:paraId="6ED46E09" w14:textId="7777777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r>
      <w:tr w:rsidRPr="00CE1DE4" w:rsidR="00CE1DE4" w:rsidTr="00CE1DE4" w14:paraId="41A1898E" w14:textId="7777777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00" w:type="dxa"/>
            <w:noWrap/>
            <w:hideMark/>
          </w:tcPr>
          <w:p w:rsidRPr="00CE1DE4" w:rsidR="00CE1DE4" w:rsidP="00EC371E" w:rsidRDefault="00CE1DE4" w14:paraId="7B833299" w14:textId="77777777">
            <w:pPr>
              <w:rPr>
                <w:rFonts w:asciiTheme="majorHAnsi" w:hAnsiTheme="majorHAnsi" w:cstheme="majorHAnsi"/>
              </w:rPr>
            </w:pPr>
            <w:r w:rsidRPr="00CE1DE4">
              <w:rPr>
                <w:rFonts w:asciiTheme="majorHAnsi" w:hAnsiTheme="majorHAnsi" w:cstheme="majorHAnsi"/>
              </w:rPr>
              <w:t>Μαρ-20</w:t>
            </w:r>
          </w:p>
        </w:tc>
        <w:tc>
          <w:tcPr>
            <w:tcW w:w="1134" w:type="dxa"/>
            <w:noWrap/>
            <w:vAlign w:val="center"/>
            <w:hideMark/>
          </w:tcPr>
          <w:p w:rsidRPr="00CE1DE4" w:rsidR="00CE1DE4" w:rsidP="00EC371E" w:rsidRDefault="00CE1DE4" w14:paraId="733919CE" w14:textId="7777777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CE1DE4">
              <w:rPr>
                <w:rFonts w:asciiTheme="majorHAnsi" w:hAnsiTheme="majorHAnsi" w:cstheme="majorHAnsi"/>
              </w:rPr>
              <w:t>71</w:t>
            </w:r>
          </w:p>
        </w:tc>
        <w:tc>
          <w:tcPr>
            <w:tcW w:w="960" w:type="dxa"/>
            <w:vMerge/>
            <w:hideMark/>
          </w:tcPr>
          <w:p w:rsidRPr="00CE1DE4" w:rsidR="00CE1DE4" w:rsidP="00EC371E" w:rsidRDefault="00CE1DE4" w14:paraId="709FE859" w14:textId="7777777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r>
      <w:tr w:rsidRPr="00CE1DE4" w:rsidR="00CE1DE4" w:rsidTr="00CE1DE4" w14:paraId="6D165C2B" w14:textId="77777777">
        <w:trPr>
          <w:trHeight w:val="300"/>
          <w:jc w:val="center"/>
        </w:trPr>
        <w:tc>
          <w:tcPr>
            <w:cnfStyle w:val="001000000000" w:firstRow="0" w:lastRow="0" w:firstColumn="1" w:lastColumn="0" w:oddVBand="0" w:evenVBand="0" w:oddHBand="0" w:evenHBand="0" w:firstRowFirstColumn="0" w:firstRowLastColumn="0" w:lastRowFirstColumn="0" w:lastRowLastColumn="0"/>
            <w:tcW w:w="1000" w:type="dxa"/>
            <w:noWrap/>
            <w:hideMark/>
          </w:tcPr>
          <w:p w:rsidRPr="00CE1DE4" w:rsidR="00CE1DE4" w:rsidP="00EC371E" w:rsidRDefault="00CE1DE4" w14:paraId="6D26E3BA" w14:textId="77777777">
            <w:pPr>
              <w:rPr>
                <w:rFonts w:asciiTheme="majorHAnsi" w:hAnsiTheme="majorHAnsi" w:cstheme="majorHAnsi"/>
              </w:rPr>
            </w:pPr>
            <w:r w:rsidRPr="00CE1DE4">
              <w:rPr>
                <w:rFonts w:asciiTheme="majorHAnsi" w:hAnsiTheme="majorHAnsi" w:cstheme="majorHAnsi"/>
              </w:rPr>
              <w:t>Απρ-20</w:t>
            </w:r>
          </w:p>
        </w:tc>
        <w:tc>
          <w:tcPr>
            <w:tcW w:w="1134" w:type="dxa"/>
            <w:noWrap/>
            <w:vAlign w:val="center"/>
            <w:hideMark/>
          </w:tcPr>
          <w:p w:rsidRPr="00CE1DE4" w:rsidR="00CE1DE4" w:rsidP="00EC371E" w:rsidRDefault="00CE1DE4" w14:paraId="07FB39EE" w14:textId="7777777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CE1DE4">
              <w:rPr>
                <w:rFonts w:asciiTheme="majorHAnsi" w:hAnsiTheme="majorHAnsi" w:cstheme="majorHAnsi"/>
              </w:rPr>
              <w:t>25</w:t>
            </w:r>
          </w:p>
        </w:tc>
        <w:tc>
          <w:tcPr>
            <w:tcW w:w="960" w:type="dxa"/>
            <w:vMerge/>
            <w:hideMark/>
          </w:tcPr>
          <w:p w:rsidRPr="00CE1DE4" w:rsidR="00CE1DE4" w:rsidP="00EC371E" w:rsidRDefault="00CE1DE4" w14:paraId="4BEA0D8B" w14:textId="7777777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r>
      <w:tr w:rsidRPr="00CE1DE4" w:rsidR="00CE1DE4" w:rsidTr="00CE1DE4" w14:paraId="6B9B55D1" w14:textId="7777777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00" w:type="dxa"/>
            <w:noWrap/>
            <w:hideMark/>
          </w:tcPr>
          <w:p w:rsidRPr="00CE1DE4" w:rsidR="00CE1DE4" w:rsidP="00EC371E" w:rsidRDefault="00CE1DE4" w14:paraId="0DDAD330" w14:textId="77777777">
            <w:pPr>
              <w:rPr>
                <w:rFonts w:asciiTheme="majorHAnsi" w:hAnsiTheme="majorHAnsi" w:cstheme="majorHAnsi"/>
              </w:rPr>
            </w:pPr>
            <w:r w:rsidRPr="00CE1DE4">
              <w:rPr>
                <w:rFonts w:asciiTheme="majorHAnsi" w:hAnsiTheme="majorHAnsi" w:cstheme="majorHAnsi"/>
              </w:rPr>
              <w:t>Μάι-20</w:t>
            </w:r>
          </w:p>
        </w:tc>
        <w:tc>
          <w:tcPr>
            <w:tcW w:w="1134" w:type="dxa"/>
            <w:noWrap/>
            <w:vAlign w:val="center"/>
            <w:hideMark/>
          </w:tcPr>
          <w:p w:rsidRPr="00CE1DE4" w:rsidR="00CE1DE4" w:rsidP="00EC371E" w:rsidRDefault="00CE1DE4" w14:paraId="1EE48BC4" w14:textId="7777777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CE1DE4">
              <w:rPr>
                <w:rFonts w:asciiTheme="majorHAnsi" w:hAnsiTheme="majorHAnsi" w:cstheme="majorHAnsi"/>
              </w:rPr>
              <w:t>56</w:t>
            </w:r>
          </w:p>
        </w:tc>
        <w:tc>
          <w:tcPr>
            <w:tcW w:w="960" w:type="dxa"/>
            <w:vMerge/>
            <w:hideMark/>
          </w:tcPr>
          <w:p w:rsidRPr="00CE1DE4" w:rsidR="00CE1DE4" w:rsidP="00EC371E" w:rsidRDefault="00CE1DE4" w14:paraId="40D2A1F0" w14:textId="7777777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r>
      <w:tr w:rsidRPr="00CE1DE4" w:rsidR="00CE1DE4" w:rsidTr="00CE1DE4" w14:paraId="70C82591" w14:textId="77777777">
        <w:trPr>
          <w:trHeight w:val="300"/>
          <w:jc w:val="center"/>
        </w:trPr>
        <w:tc>
          <w:tcPr>
            <w:cnfStyle w:val="001000000000" w:firstRow="0" w:lastRow="0" w:firstColumn="1" w:lastColumn="0" w:oddVBand="0" w:evenVBand="0" w:oddHBand="0" w:evenHBand="0" w:firstRowFirstColumn="0" w:firstRowLastColumn="0" w:lastRowFirstColumn="0" w:lastRowLastColumn="0"/>
            <w:tcW w:w="1000" w:type="dxa"/>
            <w:noWrap/>
            <w:hideMark/>
          </w:tcPr>
          <w:p w:rsidRPr="00CE1DE4" w:rsidR="00CE1DE4" w:rsidP="00EC371E" w:rsidRDefault="00CE1DE4" w14:paraId="413826C4" w14:textId="77777777">
            <w:pPr>
              <w:rPr>
                <w:rFonts w:asciiTheme="majorHAnsi" w:hAnsiTheme="majorHAnsi" w:cstheme="majorHAnsi"/>
              </w:rPr>
            </w:pPr>
            <w:r w:rsidRPr="00CE1DE4">
              <w:rPr>
                <w:rFonts w:asciiTheme="majorHAnsi" w:hAnsiTheme="majorHAnsi" w:cstheme="majorHAnsi"/>
              </w:rPr>
              <w:t>Ιουν-20</w:t>
            </w:r>
          </w:p>
        </w:tc>
        <w:tc>
          <w:tcPr>
            <w:tcW w:w="1134" w:type="dxa"/>
            <w:noWrap/>
            <w:vAlign w:val="center"/>
            <w:hideMark/>
          </w:tcPr>
          <w:p w:rsidRPr="00CE1DE4" w:rsidR="00CE1DE4" w:rsidP="00EC371E" w:rsidRDefault="00CE1DE4" w14:paraId="22340027" w14:textId="7777777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CE1DE4">
              <w:rPr>
                <w:rFonts w:asciiTheme="majorHAnsi" w:hAnsiTheme="majorHAnsi" w:cstheme="majorHAnsi"/>
              </w:rPr>
              <w:t>69</w:t>
            </w:r>
          </w:p>
        </w:tc>
        <w:tc>
          <w:tcPr>
            <w:tcW w:w="960" w:type="dxa"/>
            <w:vMerge/>
            <w:hideMark/>
          </w:tcPr>
          <w:p w:rsidRPr="00CE1DE4" w:rsidR="00CE1DE4" w:rsidP="00EC371E" w:rsidRDefault="00CE1DE4" w14:paraId="3FF68E91" w14:textId="7777777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r>
    </w:tbl>
    <w:p w:rsidR="6A1AA412" w:rsidP="6A1AA412" w:rsidRDefault="6A1AA412" w14:paraId="6DF5BD6E" w14:textId="2479B880">
      <w:pPr>
        <w:spacing w:after="160" w:line="259" w:lineRule="auto"/>
        <w:jc w:val="both"/>
        <w:rPr>
          <w:rFonts w:eastAsia="Calibri" w:asciiTheme="majorHAnsi" w:hAnsiTheme="majorHAnsi" w:cstheme="majorBidi"/>
          <w:sz w:val="28"/>
          <w:szCs w:val="28"/>
          <w:lang w:eastAsia="en-US"/>
        </w:rPr>
      </w:pPr>
    </w:p>
    <w:p w:rsidRPr="0026054C" w:rsidR="003657C0" w:rsidP="5E74FB96" w:rsidRDefault="003657C0" w14:paraId="37A68205" w14:textId="51767C71">
      <w:pPr>
        <w:numPr>
          <w:ilvl w:val="0"/>
          <w:numId w:val="2"/>
        </w:numPr>
        <w:spacing w:after="160" w:line="259" w:lineRule="auto"/>
        <w:rPr>
          <w:rFonts w:asciiTheme="majorHAnsi" w:hAnsiTheme="majorHAnsi" w:eastAsiaTheme="majorEastAsia" w:cstheme="majorBidi"/>
          <w:b/>
          <w:bCs/>
          <w:sz w:val="28"/>
          <w:szCs w:val="28"/>
          <w:lang w:eastAsia="en-US"/>
        </w:rPr>
      </w:pPr>
      <w:r w:rsidRPr="480CBED1">
        <w:rPr>
          <w:rFonts w:eastAsia="Calibri" w:asciiTheme="majorHAnsi" w:hAnsiTheme="majorHAnsi" w:cstheme="majorBidi"/>
          <w:b/>
          <w:sz w:val="28"/>
          <w:szCs w:val="28"/>
          <w:lang w:eastAsia="en-US"/>
        </w:rPr>
        <w:t>Υποβοηθούμενες Εθελούσιες  Επιστροφές συμπεριλαμβανόμενων μέτρων επανένταξης (AVRR)</w:t>
      </w:r>
    </w:p>
    <w:p w:rsidRPr="0026054C" w:rsidR="003657C0" w:rsidP="06AE175B" w:rsidRDefault="66FEA6E8" w14:paraId="4EF5C0B3" w14:textId="77777777">
      <w:pPr>
        <w:spacing w:after="160" w:line="259" w:lineRule="auto"/>
        <w:jc w:val="both"/>
        <w:rPr>
          <w:rFonts w:eastAsia="Calibri" w:asciiTheme="majorHAnsi" w:hAnsiTheme="majorHAnsi" w:cstheme="majorBidi"/>
          <w:sz w:val="28"/>
          <w:szCs w:val="28"/>
          <w:lang w:eastAsia="en-US"/>
        </w:rPr>
      </w:pPr>
      <w:r w:rsidRPr="41DC4D1E">
        <w:rPr>
          <w:rFonts w:eastAsia="Calibri" w:asciiTheme="majorHAnsi" w:hAnsiTheme="majorHAnsi" w:cstheme="majorBidi"/>
          <w:sz w:val="28"/>
          <w:szCs w:val="28"/>
          <w:lang w:eastAsia="en-US"/>
        </w:rPr>
        <w:t xml:space="preserve">Το πρόγραμμα προσφέρει διοικητική, υλικοτεχνική ή οικονομική στήριξη, συμπεριλαμβανομένης της βοήθειας για επανένταξη, σε μετανάστες που δεν μπορούν ή δεν επιθυμούν να παραμείνουν στην Ελλάδα, οι οποίοι επιθυμούν να επιστραφούν εθελοντικά στις χώρες προέλευσής τους. </w:t>
      </w:r>
    </w:p>
    <w:p w:rsidRPr="0026054C" w:rsidR="003657C0" w:rsidP="3AA1E870" w:rsidRDefault="1E8C2295" w14:paraId="7D5CC625" w14:textId="4D872A56">
      <w:pPr>
        <w:spacing w:after="160" w:line="259" w:lineRule="auto"/>
        <w:jc w:val="both"/>
        <w:rPr>
          <w:rFonts w:eastAsia="Calibri" w:asciiTheme="majorHAnsi" w:hAnsiTheme="majorHAnsi" w:cstheme="majorBidi"/>
          <w:sz w:val="28"/>
          <w:szCs w:val="28"/>
          <w:lang w:eastAsia="en-US"/>
        </w:rPr>
      </w:pPr>
      <w:r w:rsidRPr="3AA1E870">
        <w:rPr>
          <w:rFonts w:eastAsia="Calibri" w:asciiTheme="majorHAnsi" w:hAnsiTheme="majorHAnsi" w:cstheme="majorBidi"/>
          <w:sz w:val="28"/>
          <w:szCs w:val="28"/>
          <w:lang w:eastAsia="en-US"/>
        </w:rPr>
        <w:t xml:space="preserve">Το Α’ Εξάμηνο του 2020 επεστράφησαν στις χώρες καταγωγής τους, οικειοθελώς, </w:t>
      </w:r>
      <w:r w:rsidRPr="3AA1E870">
        <w:rPr>
          <w:rFonts w:eastAsia="Calibri" w:asciiTheme="majorHAnsi" w:hAnsiTheme="majorHAnsi" w:cstheme="majorBidi"/>
          <w:b/>
          <w:bCs/>
          <w:sz w:val="28"/>
          <w:szCs w:val="28"/>
          <w:lang w:eastAsia="en-US"/>
        </w:rPr>
        <w:t>9</w:t>
      </w:r>
      <w:r w:rsidRPr="3AA1E870" w:rsidR="67FC889D">
        <w:rPr>
          <w:rFonts w:eastAsia="Calibri" w:asciiTheme="majorHAnsi" w:hAnsiTheme="majorHAnsi" w:cstheme="majorBidi"/>
          <w:b/>
          <w:bCs/>
          <w:sz w:val="28"/>
          <w:szCs w:val="28"/>
          <w:lang w:eastAsia="en-US"/>
        </w:rPr>
        <w:t>4</w:t>
      </w:r>
      <w:r w:rsidRPr="3AA1E870">
        <w:rPr>
          <w:rFonts w:eastAsia="Calibri" w:asciiTheme="majorHAnsi" w:hAnsiTheme="majorHAnsi" w:cstheme="majorBidi"/>
          <w:b/>
          <w:bCs/>
          <w:sz w:val="28"/>
          <w:szCs w:val="28"/>
          <w:lang w:eastAsia="en-US"/>
        </w:rPr>
        <w:t xml:space="preserve">8 </w:t>
      </w:r>
      <w:r w:rsidRPr="3AA1E870">
        <w:rPr>
          <w:rFonts w:eastAsia="Calibri" w:asciiTheme="majorHAnsi" w:hAnsiTheme="majorHAnsi" w:cstheme="majorBidi"/>
          <w:sz w:val="28"/>
          <w:szCs w:val="28"/>
          <w:lang w:eastAsia="en-US"/>
        </w:rPr>
        <w:t>αλλοδαποί υπήκοοι τρίτων χωρών.</w:t>
      </w:r>
    </w:p>
    <w:tbl>
      <w:tblPr>
        <w:tblStyle w:val="GridTable5Dark-Accent1"/>
        <w:tblW w:w="0" w:type="auto"/>
        <w:jc w:val="center"/>
        <w:tblLook w:val="04A0" w:firstRow="1" w:lastRow="0" w:firstColumn="1" w:lastColumn="0" w:noHBand="0" w:noVBand="1"/>
      </w:tblPr>
      <w:tblGrid>
        <w:gridCol w:w="1129"/>
        <w:gridCol w:w="1705"/>
        <w:gridCol w:w="1601"/>
      </w:tblGrid>
      <w:tr w:rsidRPr="00B74A23" w:rsidR="00B74A23" w:rsidTr="3AA1E870" w14:paraId="73D78728" w14:textId="77777777">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129" w:type="dxa"/>
            <w:noWrap/>
            <w:vAlign w:val="center"/>
            <w:hideMark/>
          </w:tcPr>
          <w:p w:rsidRPr="00B74A23" w:rsidR="00B74A23" w:rsidP="00B74A23" w:rsidRDefault="00B74A23" w14:paraId="6A99D091" w14:textId="77777777">
            <w:pPr>
              <w:spacing w:after="160" w:line="259" w:lineRule="auto"/>
              <w:jc w:val="center"/>
              <w:rPr>
                <w:rFonts w:eastAsia="Calibri" w:asciiTheme="majorHAnsi" w:hAnsiTheme="majorHAnsi" w:cstheme="majorBidi"/>
                <w:sz w:val="28"/>
                <w:szCs w:val="28"/>
                <w:lang w:eastAsia="en-US"/>
              </w:rPr>
            </w:pPr>
          </w:p>
        </w:tc>
        <w:tc>
          <w:tcPr>
            <w:tcW w:w="1536" w:type="dxa"/>
            <w:noWrap/>
            <w:vAlign w:val="center"/>
            <w:hideMark/>
          </w:tcPr>
          <w:p w:rsidRPr="00B74A23" w:rsidR="00B74A23" w:rsidP="00B74A23" w:rsidRDefault="00B74A23" w14:paraId="29E34915" w14:textId="77777777">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eastAsia="Calibri" w:asciiTheme="majorHAnsi" w:hAnsiTheme="majorHAnsi" w:cstheme="majorBidi"/>
                <w:sz w:val="28"/>
                <w:szCs w:val="28"/>
                <w:lang w:eastAsia="en-US"/>
              </w:rPr>
            </w:pPr>
            <w:r w:rsidRPr="00B74A23">
              <w:rPr>
                <w:rFonts w:eastAsia="Calibri" w:asciiTheme="majorHAnsi" w:hAnsiTheme="majorHAnsi" w:cstheme="majorBidi"/>
                <w:sz w:val="28"/>
                <w:szCs w:val="28"/>
                <w:lang w:eastAsia="en-US"/>
              </w:rPr>
              <w:t>ΕΠΙΣΤΡΟΦΕΣ ΔΟΜ</w:t>
            </w:r>
          </w:p>
        </w:tc>
        <w:tc>
          <w:tcPr>
            <w:tcW w:w="1601" w:type="dxa"/>
            <w:noWrap/>
            <w:vAlign w:val="center"/>
            <w:hideMark/>
          </w:tcPr>
          <w:p w:rsidRPr="00B74A23" w:rsidR="00B74A23" w:rsidP="00B74A23" w:rsidRDefault="00B74A23" w14:paraId="0F776E84" w14:textId="77777777">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eastAsia="Calibri" w:asciiTheme="majorHAnsi" w:hAnsiTheme="majorHAnsi" w:cstheme="majorBidi"/>
                <w:sz w:val="28"/>
                <w:szCs w:val="28"/>
                <w:lang w:eastAsia="en-US"/>
              </w:rPr>
            </w:pPr>
            <w:r w:rsidRPr="00B74A23">
              <w:rPr>
                <w:rFonts w:eastAsia="Calibri" w:asciiTheme="majorHAnsi" w:hAnsiTheme="majorHAnsi" w:cstheme="majorBidi"/>
                <w:sz w:val="28"/>
                <w:szCs w:val="28"/>
                <w:lang w:eastAsia="en-US"/>
              </w:rPr>
              <w:t>ΣΥΝΟΛΟ ΕΞΑΜΗΝΟΥ</w:t>
            </w:r>
          </w:p>
        </w:tc>
      </w:tr>
      <w:tr w:rsidRPr="00B74A23" w:rsidR="00B74A23" w:rsidTr="3AA1E870" w14:paraId="18CF2484" w14:textId="7777777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129" w:type="dxa"/>
            <w:noWrap/>
            <w:hideMark/>
          </w:tcPr>
          <w:p w:rsidRPr="00B74A23" w:rsidR="00B74A23" w:rsidP="00B74A23" w:rsidRDefault="00B74A23" w14:paraId="2E68F521" w14:textId="77777777">
            <w:pPr>
              <w:spacing w:after="160" w:line="259" w:lineRule="auto"/>
              <w:jc w:val="both"/>
              <w:rPr>
                <w:rFonts w:eastAsia="Calibri" w:asciiTheme="majorHAnsi" w:hAnsiTheme="majorHAnsi" w:cstheme="majorBidi"/>
                <w:sz w:val="28"/>
                <w:szCs w:val="28"/>
                <w:lang w:eastAsia="en-US"/>
              </w:rPr>
            </w:pPr>
            <w:r w:rsidRPr="00B74A23">
              <w:rPr>
                <w:rFonts w:eastAsia="Calibri" w:asciiTheme="majorHAnsi" w:hAnsiTheme="majorHAnsi" w:cstheme="majorBidi"/>
                <w:sz w:val="28"/>
                <w:szCs w:val="28"/>
                <w:lang w:eastAsia="en-US"/>
              </w:rPr>
              <w:t>Ιαν-20</w:t>
            </w:r>
          </w:p>
        </w:tc>
        <w:tc>
          <w:tcPr>
            <w:tcW w:w="1536" w:type="dxa"/>
            <w:noWrap/>
            <w:vAlign w:val="center"/>
            <w:hideMark/>
          </w:tcPr>
          <w:p w:rsidRPr="00B74A23" w:rsidR="00B74A23" w:rsidP="3AA1E870" w:rsidRDefault="2FAE8F46" w14:paraId="0B90C689" w14:textId="3196C771">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Calibri" w:asciiTheme="majorHAnsi" w:hAnsiTheme="majorHAnsi" w:cstheme="majorBidi"/>
                <w:sz w:val="28"/>
                <w:szCs w:val="28"/>
                <w:lang w:eastAsia="en-US"/>
              </w:rPr>
            </w:pPr>
            <w:r w:rsidRPr="3AA1E870">
              <w:rPr>
                <w:rFonts w:eastAsia="Calibri" w:asciiTheme="majorHAnsi" w:hAnsiTheme="majorHAnsi" w:cstheme="majorBidi"/>
                <w:sz w:val="28"/>
                <w:szCs w:val="28"/>
                <w:lang w:eastAsia="en-US"/>
              </w:rPr>
              <w:t>3</w:t>
            </w:r>
            <w:r w:rsidRPr="3AA1E870" w:rsidR="78C514A1">
              <w:rPr>
                <w:rFonts w:eastAsia="Calibri" w:asciiTheme="majorHAnsi" w:hAnsiTheme="majorHAnsi" w:cstheme="majorBidi"/>
                <w:sz w:val="28"/>
                <w:szCs w:val="28"/>
                <w:lang w:eastAsia="en-US"/>
              </w:rPr>
              <w:t>64</w:t>
            </w:r>
          </w:p>
        </w:tc>
        <w:tc>
          <w:tcPr>
            <w:tcW w:w="1601" w:type="dxa"/>
            <w:vMerge w:val="restart"/>
            <w:noWrap/>
            <w:vAlign w:val="center"/>
            <w:hideMark/>
          </w:tcPr>
          <w:p w:rsidRPr="00B74A23" w:rsidR="00B74A23" w:rsidP="3AA1E870" w:rsidRDefault="2FAE8F46" w14:paraId="4C1D3D8D" w14:textId="3B31AB1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Calibri" w:asciiTheme="majorHAnsi" w:hAnsiTheme="majorHAnsi" w:cstheme="majorBidi"/>
                <w:b/>
                <w:bCs/>
                <w:sz w:val="28"/>
                <w:szCs w:val="28"/>
                <w:lang w:eastAsia="en-US"/>
              </w:rPr>
            </w:pPr>
            <w:r w:rsidRPr="3AA1E870">
              <w:rPr>
                <w:rFonts w:eastAsia="Calibri" w:asciiTheme="majorHAnsi" w:hAnsiTheme="majorHAnsi" w:cstheme="majorBidi"/>
                <w:b/>
                <w:bCs/>
                <w:sz w:val="28"/>
                <w:szCs w:val="28"/>
                <w:lang w:eastAsia="en-US"/>
              </w:rPr>
              <w:t>9</w:t>
            </w:r>
            <w:r w:rsidRPr="3AA1E870" w:rsidR="0F8C8468">
              <w:rPr>
                <w:rFonts w:eastAsia="Calibri" w:asciiTheme="majorHAnsi" w:hAnsiTheme="majorHAnsi" w:cstheme="majorBidi"/>
                <w:b/>
                <w:bCs/>
                <w:sz w:val="28"/>
                <w:szCs w:val="28"/>
                <w:lang w:eastAsia="en-US"/>
              </w:rPr>
              <w:t>48</w:t>
            </w:r>
          </w:p>
        </w:tc>
      </w:tr>
      <w:tr w:rsidRPr="00B74A23" w:rsidR="00B74A23" w:rsidTr="3AA1E870" w14:paraId="6AB83BF9" w14:textId="77777777">
        <w:trPr>
          <w:trHeight w:val="300"/>
          <w:jc w:val="center"/>
        </w:trPr>
        <w:tc>
          <w:tcPr>
            <w:cnfStyle w:val="001000000000" w:firstRow="0" w:lastRow="0" w:firstColumn="1" w:lastColumn="0" w:oddVBand="0" w:evenVBand="0" w:oddHBand="0" w:evenHBand="0" w:firstRowFirstColumn="0" w:firstRowLastColumn="0" w:lastRowFirstColumn="0" w:lastRowLastColumn="0"/>
            <w:tcW w:w="1129" w:type="dxa"/>
            <w:noWrap/>
            <w:hideMark/>
          </w:tcPr>
          <w:p w:rsidRPr="00B74A23" w:rsidR="00B74A23" w:rsidP="00B74A23" w:rsidRDefault="00B74A23" w14:paraId="5DB88AB5" w14:textId="77777777">
            <w:pPr>
              <w:spacing w:after="160" w:line="259" w:lineRule="auto"/>
              <w:jc w:val="both"/>
              <w:rPr>
                <w:rFonts w:eastAsia="Calibri" w:asciiTheme="majorHAnsi" w:hAnsiTheme="majorHAnsi" w:cstheme="majorBidi"/>
                <w:sz w:val="28"/>
                <w:szCs w:val="28"/>
                <w:lang w:eastAsia="en-US"/>
              </w:rPr>
            </w:pPr>
            <w:r w:rsidRPr="00B74A23">
              <w:rPr>
                <w:rFonts w:eastAsia="Calibri" w:asciiTheme="majorHAnsi" w:hAnsiTheme="majorHAnsi" w:cstheme="majorBidi"/>
                <w:sz w:val="28"/>
                <w:szCs w:val="28"/>
                <w:lang w:eastAsia="en-US"/>
              </w:rPr>
              <w:t>Φεβ-20</w:t>
            </w:r>
          </w:p>
        </w:tc>
        <w:tc>
          <w:tcPr>
            <w:tcW w:w="1536" w:type="dxa"/>
            <w:noWrap/>
            <w:vAlign w:val="center"/>
            <w:hideMark/>
          </w:tcPr>
          <w:p w:rsidRPr="00B74A23" w:rsidR="00B74A23" w:rsidP="3AA1E870" w:rsidRDefault="4DB7ACDF" w14:paraId="0BAE28C9" w14:textId="67FD95B7">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eastAsia="Calibri" w:asciiTheme="majorHAnsi" w:hAnsiTheme="majorHAnsi" w:cstheme="majorBidi"/>
                <w:sz w:val="28"/>
                <w:szCs w:val="28"/>
                <w:lang w:eastAsia="en-US"/>
              </w:rPr>
            </w:pPr>
            <w:r w:rsidRPr="3AA1E870">
              <w:rPr>
                <w:rFonts w:eastAsia="Calibri" w:asciiTheme="majorHAnsi" w:hAnsiTheme="majorHAnsi" w:cstheme="majorBidi"/>
                <w:sz w:val="28"/>
                <w:szCs w:val="28"/>
                <w:lang w:eastAsia="en-US"/>
              </w:rPr>
              <w:t>309</w:t>
            </w:r>
          </w:p>
        </w:tc>
        <w:tc>
          <w:tcPr>
            <w:tcW w:w="1601" w:type="dxa"/>
            <w:vMerge/>
            <w:hideMark/>
          </w:tcPr>
          <w:p w:rsidRPr="00B74A23" w:rsidR="00B74A23" w:rsidP="00B74A23" w:rsidRDefault="00B74A23" w14:paraId="335F5121" w14:textId="77777777">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eastAsia="Calibri" w:asciiTheme="majorHAnsi" w:hAnsiTheme="majorHAnsi" w:cstheme="majorBidi"/>
                <w:sz w:val="28"/>
                <w:szCs w:val="28"/>
                <w:lang w:eastAsia="en-US"/>
              </w:rPr>
            </w:pPr>
          </w:p>
        </w:tc>
      </w:tr>
      <w:tr w:rsidRPr="00B74A23" w:rsidR="00B74A23" w:rsidTr="3AA1E870" w14:paraId="5A7B5546" w14:textId="7777777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129" w:type="dxa"/>
            <w:noWrap/>
            <w:hideMark/>
          </w:tcPr>
          <w:p w:rsidRPr="00B74A23" w:rsidR="00B74A23" w:rsidP="00B74A23" w:rsidRDefault="00B74A23" w14:paraId="38E1A942" w14:textId="77777777">
            <w:pPr>
              <w:spacing w:after="160" w:line="259" w:lineRule="auto"/>
              <w:jc w:val="both"/>
              <w:rPr>
                <w:rFonts w:eastAsia="Calibri" w:asciiTheme="majorHAnsi" w:hAnsiTheme="majorHAnsi" w:cstheme="majorBidi"/>
                <w:sz w:val="28"/>
                <w:szCs w:val="28"/>
                <w:lang w:eastAsia="en-US"/>
              </w:rPr>
            </w:pPr>
            <w:r w:rsidRPr="00B74A23">
              <w:rPr>
                <w:rFonts w:eastAsia="Calibri" w:asciiTheme="majorHAnsi" w:hAnsiTheme="majorHAnsi" w:cstheme="majorBidi"/>
                <w:sz w:val="28"/>
                <w:szCs w:val="28"/>
                <w:lang w:eastAsia="en-US"/>
              </w:rPr>
              <w:t>Μαρ-20</w:t>
            </w:r>
          </w:p>
        </w:tc>
        <w:tc>
          <w:tcPr>
            <w:tcW w:w="1536" w:type="dxa"/>
            <w:noWrap/>
            <w:vAlign w:val="center"/>
            <w:hideMark/>
          </w:tcPr>
          <w:p w:rsidRPr="00B74A23" w:rsidR="00B74A23" w:rsidP="3AA1E870" w:rsidRDefault="2FAE8F46" w14:paraId="44270EBC" w14:textId="0D89CC4B">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Calibri" w:asciiTheme="majorHAnsi" w:hAnsiTheme="majorHAnsi" w:cstheme="majorBidi"/>
                <w:sz w:val="28"/>
                <w:szCs w:val="28"/>
                <w:lang w:eastAsia="en-US"/>
              </w:rPr>
            </w:pPr>
            <w:r w:rsidRPr="3AA1E870">
              <w:rPr>
                <w:rFonts w:eastAsia="Calibri" w:asciiTheme="majorHAnsi" w:hAnsiTheme="majorHAnsi" w:cstheme="majorBidi"/>
                <w:sz w:val="28"/>
                <w:szCs w:val="28"/>
                <w:lang w:eastAsia="en-US"/>
              </w:rPr>
              <w:t>22</w:t>
            </w:r>
            <w:r w:rsidRPr="3AA1E870" w:rsidR="22F9D57E">
              <w:rPr>
                <w:rFonts w:eastAsia="Calibri" w:asciiTheme="majorHAnsi" w:hAnsiTheme="majorHAnsi" w:cstheme="majorBidi"/>
                <w:sz w:val="28"/>
                <w:szCs w:val="28"/>
                <w:lang w:eastAsia="en-US"/>
              </w:rPr>
              <w:t>1</w:t>
            </w:r>
          </w:p>
        </w:tc>
        <w:tc>
          <w:tcPr>
            <w:tcW w:w="1601" w:type="dxa"/>
            <w:vMerge/>
            <w:hideMark/>
          </w:tcPr>
          <w:p w:rsidRPr="00B74A23" w:rsidR="00B74A23" w:rsidP="00B74A23" w:rsidRDefault="00B74A23" w14:paraId="296D2042" w14:textId="77777777">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eastAsia="Calibri" w:asciiTheme="majorHAnsi" w:hAnsiTheme="majorHAnsi" w:cstheme="majorBidi"/>
                <w:sz w:val="28"/>
                <w:szCs w:val="28"/>
                <w:lang w:eastAsia="en-US"/>
              </w:rPr>
            </w:pPr>
          </w:p>
        </w:tc>
      </w:tr>
      <w:tr w:rsidRPr="00B74A23" w:rsidR="00B74A23" w:rsidTr="3AA1E870" w14:paraId="68CB1569" w14:textId="77777777">
        <w:trPr>
          <w:trHeight w:val="300"/>
          <w:jc w:val="center"/>
        </w:trPr>
        <w:tc>
          <w:tcPr>
            <w:cnfStyle w:val="001000000000" w:firstRow="0" w:lastRow="0" w:firstColumn="1" w:lastColumn="0" w:oddVBand="0" w:evenVBand="0" w:oddHBand="0" w:evenHBand="0" w:firstRowFirstColumn="0" w:firstRowLastColumn="0" w:lastRowFirstColumn="0" w:lastRowLastColumn="0"/>
            <w:tcW w:w="1129" w:type="dxa"/>
            <w:noWrap/>
            <w:hideMark/>
          </w:tcPr>
          <w:p w:rsidRPr="00B74A23" w:rsidR="00B74A23" w:rsidP="00B74A23" w:rsidRDefault="00B74A23" w14:paraId="48833B57" w14:textId="77777777">
            <w:pPr>
              <w:spacing w:after="160" w:line="259" w:lineRule="auto"/>
              <w:jc w:val="both"/>
              <w:rPr>
                <w:rFonts w:eastAsia="Calibri" w:asciiTheme="majorHAnsi" w:hAnsiTheme="majorHAnsi" w:cstheme="majorBidi"/>
                <w:sz w:val="28"/>
                <w:szCs w:val="28"/>
                <w:lang w:eastAsia="en-US"/>
              </w:rPr>
            </w:pPr>
            <w:r w:rsidRPr="00B74A23">
              <w:rPr>
                <w:rFonts w:eastAsia="Calibri" w:asciiTheme="majorHAnsi" w:hAnsiTheme="majorHAnsi" w:cstheme="majorBidi"/>
                <w:sz w:val="28"/>
                <w:szCs w:val="28"/>
                <w:lang w:eastAsia="en-US"/>
              </w:rPr>
              <w:t>Απρ-20</w:t>
            </w:r>
          </w:p>
        </w:tc>
        <w:tc>
          <w:tcPr>
            <w:tcW w:w="1536" w:type="dxa"/>
            <w:noWrap/>
            <w:vAlign w:val="center"/>
            <w:hideMark/>
          </w:tcPr>
          <w:p w:rsidRPr="00B74A23" w:rsidR="00B74A23" w:rsidP="00B74A23" w:rsidRDefault="00B74A23" w14:paraId="6D885B6F" w14:textId="77777777">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eastAsia="Calibri" w:asciiTheme="majorHAnsi" w:hAnsiTheme="majorHAnsi" w:cstheme="majorBidi"/>
                <w:sz w:val="28"/>
                <w:szCs w:val="28"/>
                <w:lang w:eastAsia="en-US"/>
              </w:rPr>
            </w:pPr>
            <w:r w:rsidRPr="00B74A23">
              <w:rPr>
                <w:rFonts w:eastAsia="Calibri" w:asciiTheme="majorHAnsi" w:hAnsiTheme="majorHAnsi" w:cstheme="majorBidi"/>
                <w:sz w:val="28"/>
                <w:szCs w:val="28"/>
                <w:lang w:eastAsia="en-US"/>
              </w:rPr>
              <w:t>7</w:t>
            </w:r>
          </w:p>
        </w:tc>
        <w:tc>
          <w:tcPr>
            <w:tcW w:w="1601" w:type="dxa"/>
            <w:vMerge/>
            <w:hideMark/>
          </w:tcPr>
          <w:p w:rsidRPr="00B74A23" w:rsidR="00B74A23" w:rsidP="00B74A23" w:rsidRDefault="00B74A23" w14:paraId="2328A192" w14:textId="77777777">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eastAsia="Calibri" w:asciiTheme="majorHAnsi" w:hAnsiTheme="majorHAnsi" w:cstheme="majorBidi"/>
                <w:sz w:val="28"/>
                <w:szCs w:val="28"/>
                <w:lang w:eastAsia="en-US"/>
              </w:rPr>
            </w:pPr>
          </w:p>
        </w:tc>
      </w:tr>
      <w:tr w:rsidRPr="00B74A23" w:rsidR="00B74A23" w:rsidTr="3AA1E870" w14:paraId="0D5576A8" w14:textId="7777777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129" w:type="dxa"/>
            <w:noWrap/>
            <w:hideMark/>
          </w:tcPr>
          <w:p w:rsidRPr="00B74A23" w:rsidR="00B74A23" w:rsidP="00B74A23" w:rsidRDefault="00B74A23" w14:paraId="52013FE6" w14:textId="77777777">
            <w:pPr>
              <w:spacing w:after="160" w:line="259" w:lineRule="auto"/>
              <w:jc w:val="both"/>
              <w:rPr>
                <w:rFonts w:eastAsia="Calibri" w:asciiTheme="majorHAnsi" w:hAnsiTheme="majorHAnsi" w:cstheme="majorBidi"/>
                <w:sz w:val="28"/>
                <w:szCs w:val="28"/>
                <w:lang w:eastAsia="en-US"/>
              </w:rPr>
            </w:pPr>
            <w:r w:rsidRPr="00B74A23">
              <w:rPr>
                <w:rFonts w:eastAsia="Calibri" w:asciiTheme="majorHAnsi" w:hAnsiTheme="majorHAnsi" w:cstheme="majorBidi"/>
                <w:sz w:val="28"/>
                <w:szCs w:val="28"/>
                <w:lang w:eastAsia="en-US"/>
              </w:rPr>
              <w:t>Μάι-20</w:t>
            </w:r>
          </w:p>
        </w:tc>
        <w:tc>
          <w:tcPr>
            <w:tcW w:w="1536" w:type="dxa"/>
            <w:noWrap/>
            <w:vAlign w:val="center"/>
            <w:hideMark/>
          </w:tcPr>
          <w:p w:rsidRPr="00B74A23" w:rsidR="00B74A23" w:rsidP="00B74A23" w:rsidRDefault="00B74A23" w14:paraId="14FD43D5" w14:textId="77777777">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Calibri" w:asciiTheme="majorHAnsi" w:hAnsiTheme="majorHAnsi" w:cstheme="majorBidi"/>
                <w:sz w:val="28"/>
                <w:szCs w:val="28"/>
                <w:lang w:eastAsia="en-US"/>
              </w:rPr>
            </w:pPr>
            <w:r w:rsidRPr="00B74A23">
              <w:rPr>
                <w:rFonts w:eastAsia="Calibri" w:asciiTheme="majorHAnsi" w:hAnsiTheme="majorHAnsi" w:cstheme="majorBidi"/>
                <w:sz w:val="28"/>
                <w:szCs w:val="28"/>
                <w:lang w:eastAsia="en-US"/>
              </w:rPr>
              <w:t>13</w:t>
            </w:r>
          </w:p>
        </w:tc>
        <w:tc>
          <w:tcPr>
            <w:tcW w:w="1601" w:type="dxa"/>
            <w:vMerge/>
            <w:hideMark/>
          </w:tcPr>
          <w:p w:rsidRPr="00B74A23" w:rsidR="00B74A23" w:rsidP="00B74A23" w:rsidRDefault="00B74A23" w14:paraId="531FFDB9" w14:textId="77777777">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eastAsia="Calibri" w:asciiTheme="majorHAnsi" w:hAnsiTheme="majorHAnsi" w:cstheme="majorBidi"/>
                <w:sz w:val="28"/>
                <w:szCs w:val="28"/>
                <w:lang w:eastAsia="en-US"/>
              </w:rPr>
            </w:pPr>
          </w:p>
        </w:tc>
      </w:tr>
      <w:tr w:rsidRPr="00B74A23" w:rsidR="00B74A23" w:rsidTr="3AA1E870" w14:paraId="324AD5EE" w14:textId="77777777">
        <w:trPr>
          <w:trHeight w:val="300"/>
          <w:jc w:val="center"/>
        </w:trPr>
        <w:tc>
          <w:tcPr>
            <w:cnfStyle w:val="001000000000" w:firstRow="0" w:lastRow="0" w:firstColumn="1" w:lastColumn="0" w:oddVBand="0" w:evenVBand="0" w:oddHBand="0" w:evenHBand="0" w:firstRowFirstColumn="0" w:firstRowLastColumn="0" w:lastRowFirstColumn="0" w:lastRowLastColumn="0"/>
            <w:tcW w:w="1129" w:type="dxa"/>
            <w:noWrap/>
            <w:hideMark/>
          </w:tcPr>
          <w:p w:rsidRPr="00B74A23" w:rsidR="00B74A23" w:rsidP="00B74A23" w:rsidRDefault="00B74A23" w14:paraId="22B5B358" w14:textId="77777777">
            <w:pPr>
              <w:spacing w:after="160" w:line="259" w:lineRule="auto"/>
              <w:jc w:val="both"/>
              <w:rPr>
                <w:rFonts w:eastAsia="Calibri" w:asciiTheme="majorHAnsi" w:hAnsiTheme="majorHAnsi" w:cstheme="majorBidi"/>
                <w:sz w:val="28"/>
                <w:szCs w:val="28"/>
                <w:lang w:eastAsia="en-US"/>
              </w:rPr>
            </w:pPr>
            <w:r w:rsidRPr="00B74A23">
              <w:rPr>
                <w:rFonts w:eastAsia="Calibri" w:asciiTheme="majorHAnsi" w:hAnsiTheme="majorHAnsi" w:cstheme="majorBidi"/>
                <w:sz w:val="28"/>
                <w:szCs w:val="28"/>
                <w:lang w:eastAsia="en-US"/>
              </w:rPr>
              <w:t>Ιουν-20</w:t>
            </w:r>
          </w:p>
        </w:tc>
        <w:tc>
          <w:tcPr>
            <w:tcW w:w="1536" w:type="dxa"/>
            <w:noWrap/>
            <w:vAlign w:val="center"/>
            <w:hideMark/>
          </w:tcPr>
          <w:p w:rsidRPr="00B74A23" w:rsidR="00B74A23" w:rsidP="3AA1E870" w:rsidRDefault="2FAE8F46" w14:paraId="2FAE062B" w14:textId="6F4C5A9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eastAsia="Calibri" w:asciiTheme="majorHAnsi" w:hAnsiTheme="majorHAnsi" w:cstheme="majorBidi"/>
                <w:sz w:val="28"/>
                <w:szCs w:val="28"/>
                <w:lang w:eastAsia="en-US"/>
              </w:rPr>
            </w:pPr>
            <w:r w:rsidRPr="3AA1E870">
              <w:rPr>
                <w:rFonts w:eastAsia="Calibri" w:asciiTheme="majorHAnsi" w:hAnsiTheme="majorHAnsi" w:cstheme="majorBidi"/>
                <w:sz w:val="28"/>
                <w:szCs w:val="28"/>
                <w:lang w:eastAsia="en-US"/>
              </w:rPr>
              <w:t>3</w:t>
            </w:r>
            <w:r w:rsidRPr="3AA1E870" w:rsidR="0DACBA6E">
              <w:rPr>
                <w:rFonts w:eastAsia="Calibri" w:asciiTheme="majorHAnsi" w:hAnsiTheme="majorHAnsi" w:cstheme="majorBidi"/>
                <w:sz w:val="28"/>
                <w:szCs w:val="28"/>
                <w:lang w:eastAsia="en-US"/>
              </w:rPr>
              <w:t>4</w:t>
            </w:r>
          </w:p>
        </w:tc>
        <w:tc>
          <w:tcPr>
            <w:tcW w:w="1601" w:type="dxa"/>
            <w:vMerge/>
            <w:hideMark/>
          </w:tcPr>
          <w:p w:rsidRPr="00B74A23" w:rsidR="00B74A23" w:rsidP="00B74A23" w:rsidRDefault="00B74A23" w14:paraId="422F793C" w14:textId="77777777">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eastAsia="Calibri" w:asciiTheme="majorHAnsi" w:hAnsiTheme="majorHAnsi" w:cstheme="majorBidi"/>
                <w:sz w:val="28"/>
                <w:szCs w:val="28"/>
                <w:lang w:eastAsia="en-US"/>
              </w:rPr>
            </w:pPr>
          </w:p>
        </w:tc>
      </w:tr>
    </w:tbl>
    <w:p w:rsidR="005C313F" w:rsidP="005C313F" w:rsidRDefault="005C313F" w14:paraId="25DFDD37" w14:textId="77777777">
      <w:pPr>
        <w:spacing w:after="160" w:line="259" w:lineRule="auto"/>
        <w:ind w:left="720"/>
        <w:contextualSpacing/>
        <w:jc w:val="both"/>
        <w:rPr>
          <w:rFonts w:eastAsia="Calibri" w:asciiTheme="majorHAnsi" w:hAnsiTheme="majorHAnsi" w:cstheme="majorBidi"/>
          <w:b/>
          <w:sz w:val="28"/>
          <w:szCs w:val="28"/>
          <w:lang w:eastAsia="en-US"/>
        </w:rPr>
      </w:pPr>
    </w:p>
    <w:p w:rsidRPr="0026054C" w:rsidR="003657C0" w:rsidP="3AA1E870" w:rsidRDefault="7F0B4F43" w14:paraId="0605375A" w14:textId="2D1AD1CD">
      <w:pPr>
        <w:numPr>
          <w:ilvl w:val="0"/>
          <w:numId w:val="2"/>
        </w:numPr>
        <w:spacing w:after="160" w:line="259" w:lineRule="auto"/>
        <w:contextualSpacing/>
        <w:jc w:val="both"/>
        <w:rPr>
          <w:rFonts w:eastAsia="Calibri" w:asciiTheme="majorHAnsi" w:hAnsiTheme="majorHAnsi" w:cstheme="majorBidi"/>
          <w:b/>
          <w:bCs/>
          <w:sz w:val="28"/>
          <w:szCs w:val="28"/>
          <w:lang w:eastAsia="en-US"/>
        </w:rPr>
      </w:pPr>
      <w:r w:rsidRPr="3AA1E870">
        <w:rPr>
          <w:rFonts w:eastAsia="Calibri" w:asciiTheme="majorHAnsi" w:hAnsiTheme="majorHAnsi" w:cstheme="majorBidi"/>
          <w:b/>
          <w:bCs/>
          <w:sz w:val="28"/>
          <w:szCs w:val="28"/>
          <w:lang w:eastAsia="en-US"/>
        </w:rPr>
        <w:t>Μετα</w:t>
      </w:r>
      <w:r w:rsidRPr="3AA1E870" w:rsidR="74AF2C17">
        <w:rPr>
          <w:rFonts w:eastAsia="Calibri" w:asciiTheme="majorHAnsi" w:hAnsiTheme="majorHAnsi" w:cstheme="majorBidi"/>
          <w:b/>
          <w:bCs/>
          <w:sz w:val="28"/>
          <w:szCs w:val="28"/>
          <w:lang w:eastAsia="en-US"/>
        </w:rPr>
        <w:t xml:space="preserve">φορές </w:t>
      </w:r>
      <w:r w:rsidRPr="3AA1E870" w:rsidR="288A9BAD">
        <w:rPr>
          <w:rFonts w:eastAsia="Calibri" w:asciiTheme="majorHAnsi" w:hAnsiTheme="majorHAnsi" w:cstheme="majorBidi"/>
          <w:b/>
          <w:bCs/>
          <w:sz w:val="28"/>
          <w:szCs w:val="28"/>
          <w:lang w:eastAsia="en-US"/>
        </w:rPr>
        <w:t xml:space="preserve">μέσω </w:t>
      </w:r>
      <w:r w:rsidRPr="3AA1E870" w:rsidR="4372E8F4">
        <w:rPr>
          <w:rFonts w:eastAsia="Calibri" w:asciiTheme="majorHAnsi" w:hAnsiTheme="majorHAnsi" w:cstheme="majorBidi"/>
          <w:b/>
          <w:bCs/>
          <w:sz w:val="28"/>
          <w:szCs w:val="28"/>
          <w:lang w:eastAsia="en-US"/>
        </w:rPr>
        <w:t xml:space="preserve">του </w:t>
      </w:r>
      <w:r w:rsidRPr="3AA1E870" w:rsidR="288A9BAD">
        <w:rPr>
          <w:rFonts w:eastAsia="Calibri" w:asciiTheme="majorHAnsi" w:hAnsiTheme="majorHAnsi" w:cstheme="majorBidi"/>
          <w:b/>
          <w:bCs/>
          <w:sz w:val="28"/>
          <w:szCs w:val="28"/>
          <w:lang w:eastAsia="en-US"/>
        </w:rPr>
        <w:t xml:space="preserve"> Κανονισμού του Δουβλίνου</w:t>
      </w:r>
    </w:p>
    <w:p w:rsidRPr="0026054C" w:rsidR="003657C0" w:rsidP="003657C0" w:rsidRDefault="003657C0" w14:paraId="11291A8A" w14:textId="77777777">
      <w:pPr>
        <w:spacing w:after="160" w:line="259" w:lineRule="auto"/>
        <w:jc w:val="both"/>
        <w:rPr>
          <w:rFonts w:eastAsia="Calibri" w:asciiTheme="majorHAnsi" w:hAnsiTheme="majorHAnsi" w:cstheme="majorHAnsi"/>
          <w:sz w:val="28"/>
          <w:szCs w:val="28"/>
          <w:lang w:eastAsia="en-US"/>
        </w:rPr>
      </w:pPr>
      <w:r w:rsidRPr="0026054C">
        <w:rPr>
          <w:rFonts w:eastAsia="Calibri" w:asciiTheme="majorHAnsi" w:hAnsiTheme="majorHAnsi" w:cstheme="majorHAnsi"/>
          <w:sz w:val="28"/>
          <w:szCs w:val="28"/>
          <w:lang w:eastAsia="en-US"/>
        </w:rPr>
        <w:t xml:space="preserve">Ο Κανονισμός του Δουβλίνου (Κανονισμός 604/2013) καθορίζει το κράτος μέλος της ΕΕ που είναι αρμόδιο για την εξέταση της αίτησης για τους αιτούντες άσυλο που αναζητούν διεθνή προστασία εντός της Ευρωπαϊκής Ένωσης, βάσει συγκεκριμένων κριτηρίων (λ.χ. οικογενειακή επανένωση, προηγούμενη είσοδος ή άδεια διαμονής σε άλλο κράτος-μέλος κ.ά.). Είναι ο ακρογωνιαίος λίθος του Συστήματος του Δουβλίνου, το οποίο αποτελείται από τον Κανονισμό του Δουβλίνου και τον κανονισμό EURODAC, ο οποίος θεσπίζει μια πανευρωπαϊκή βάση δεδομένων δακτυλικών αποτυπωμάτων για τους παράνομα νεοεισερχόμενους στην ΕΕ. Ο Κανονισμός του Δουβλίνου έχει ως στόχο “τον ταχύ προσδιορισμό του κράτους μέλους που είναι υπεύθυνο για αίτηση ασύλου” και προβλέπει τη μεταφορά του αιτούντος άσυλο στο εν λόγω κράτος-μέλος για τη συνέχιση της διαδικασίας του. </w:t>
      </w:r>
    </w:p>
    <w:p w:rsidRPr="0026054C" w:rsidR="003657C0" w:rsidP="3AA1E870" w:rsidRDefault="288A9BAD" w14:paraId="70EBE55D" w14:textId="7CE9F868">
      <w:pPr>
        <w:spacing w:after="160" w:line="259" w:lineRule="auto"/>
        <w:jc w:val="both"/>
        <w:rPr>
          <w:rFonts w:eastAsia="Calibri" w:asciiTheme="majorHAnsi" w:hAnsiTheme="majorHAnsi" w:cstheme="majorBidi"/>
          <w:sz w:val="28"/>
          <w:szCs w:val="28"/>
          <w:lang w:eastAsia="en-US"/>
        </w:rPr>
      </w:pPr>
      <w:r w:rsidRPr="3AA1E870">
        <w:rPr>
          <w:rFonts w:eastAsia="Calibri" w:asciiTheme="majorHAnsi" w:hAnsiTheme="majorHAnsi" w:cstheme="majorBidi"/>
          <w:sz w:val="28"/>
          <w:szCs w:val="28"/>
          <w:lang w:eastAsia="en-US"/>
        </w:rPr>
        <w:t xml:space="preserve">Συνολικά, στο πλαίσιο του Κανονισμού του Δουβλίνου, έχουν πραγματοποιηθεί το Α’ Εξάμηνο του 2020, </w:t>
      </w:r>
      <w:r w:rsidRPr="3AA1E870">
        <w:rPr>
          <w:rFonts w:eastAsia="Calibri" w:asciiTheme="majorHAnsi" w:hAnsiTheme="majorHAnsi" w:cstheme="majorBidi"/>
          <w:b/>
          <w:bCs/>
          <w:sz w:val="28"/>
          <w:szCs w:val="28"/>
          <w:lang w:eastAsia="en-US"/>
        </w:rPr>
        <w:t xml:space="preserve">609 </w:t>
      </w:r>
      <w:r w:rsidRPr="3AA1E870">
        <w:rPr>
          <w:rFonts w:eastAsia="Calibri" w:asciiTheme="majorHAnsi" w:hAnsiTheme="majorHAnsi" w:cstheme="majorBidi"/>
          <w:sz w:val="28"/>
          <w:szCs w:val="28"/>
          <w:lang w:eastAsia="en-US"/>
        </w:rPr>
        <w:t>μ</w:t>
      </w:r>
      <w:r w:rsidRPr="3AA1E870" w:rsidR="1F3F91D4">
        <w:rPr>
          <w:rFonts w:eastAsia="Calibri" w:asciiTheme="majorHAnsi" w:hAnsiTheme="majorHAnsi" w:cstheme="majorBidi"/>
          <w:sz w:val="28"/>
          <w:szCs w:val="28"/>
          <w:lang w:eastAsia="en-US"/>
        </w:rPr>
        <w:t xml:space="preserve">εταφορές </w:t>
      </w:r>
      <w:r w:rsidRPr="3AA1E870">
        <w:rPr>
          <w:rFonts w:eastAsia="Calibri" w:asciiTheme="majorHAnsi" w:hAnsiTheme="majorHAnsi" w:cstheme="majorBidi"/>
          <w:sz w:val="28"/>
          <w:szCs w:val="28"/>
          <w:lang w:eastAsia="en-US"/>
        </w:rPr>
        <w:t xml:space="preserve">προς κράτη-μέλη της Ευρωπαϊκής Ένωσης. Τέλος, υπό το ίδιο νομικό καθεστώς, κατόπιν αιτημάτων οικογενειακής επανένωσης, έλαβαν χώρα </w:t>
      </w:r>
      <w:r w:rsidRPr="3AA1E870">
        <w:rPr>
          <w:rFonts w:eastAsia="Calibri" w:asciiTheme="majorHAnsi" w:hAnsiTheme="majorHAnsi" w:cstheme="majorBidi"/>
          <w:b/>
          <w:bCs/>
          <w:sz w:val="28"/>
          <w:szCs w:val="28"/>
          <w:lang w:eastAsia="en-US"/>
        </w:rPr>
        <w:t>68</w:t>
      </w:r>
      <w:r w:rsidRPr="3AA1E870">
        <w:rPr>
          <w:rFonts w:eastAsia="Calibri" w:asciiTheme="majorHAnsi" w:hAnsiTheme="majorHAnsi" w:cstheme="majorBidi"/>
          <w:sz w:val="28"/>
          <w:szCs w:val="28"/>
          <w:lang w:eastAsia="en-US"/>
        </w:rPr>
        <w:t xml:space="preserve"> μεταφορές ασυνόδευτων ανηλίκων. </w:t>
      </w:r>
    </w:p>
    <w:p w:rsidR="37D6DAA6" w:rsidP="3AA1E870" w:rsidRDefault="37D6DAA6" w14:paraId="7C8C9CF9" w14:textId="67E70CB8">
      <w:pPr>
        <w:numPr>
          <w:ilvl w:val="0"/>
          <w:numId w:val="2"/>
        </w:numPr>
        <w:spacing w:after="160" w:line="259" w:lineRule="auto"/>
        <w:jc w:val="both"/>
        <w:rPr>
          <w:rFonts w:eastAsia="Calibri" w:asciiTheme="majorHAnsi" w:hAnsiTheme="majorHAnsi" w:cstheme="majorBidi"/>
          <w:b/>
          <w:bCs/>
          <w:sz w:val="28"/>
          <w:szCs w:val="28"/>
          <w:lang w:eastAsia="en-US"/>
        </w:rPr>
      </w:pPr>
      <w:r w:rsidRPr="3AA1E870">
        <w:rPr>
          <w:rFonts w:eastAsia="Calibri" w:asciiTheme="majorHAnsi" w:hAnsiTheme="majorHAnsi" w:cstheme="majorBidi"/>
          <w:b/>
          <w:bCs/>
          <w:sz w:val="28"/>
          <w:szCs w:val="28"/>
          <w:lang w:eastAsia="en-US"/>
        </w:rPr>
        <w:t>Μετεγκαταστάσεις Ασυνόδευτων Ανηλίκων</w:t>
      </w:r>
    </w:p>
    <w:p w:rsidR="37D6DAA6" w:rsidP="3AA1E870" w:rsidRDefault="37D6DAA6" w14:paraId="673BEC58" w14:textId="3DD9BEB4">
      <w:pPr>
        <w:spacing w:after="160" w:line="259" w:lineRule="auto"/>
        <w:jc w:val="both"/>
        <w:rPr>
          <w:rFonts w:eastAsia="Calibri" w:asciiTheme="majorHAnsi" w:hAnsiTheme="majorHAnsi" w:cstheme="majorBidi"/>
          <w:sz w:val="28"/>
          <w:szCs w:val="28"/>
          <w:lang w:eastAsia="en-US"/>
        </w:rPr>
      </w:pPr>
      <w:r w:rsidRPr="3AA1E870">
        <w:rPr>
          <w:rFonts w:eastAsia="Calibri" w:asciiTheme="majorHAnsi" w:hAnsiTheme="majorHAnsi" w:cstheme="majorBidi"/>
          <w:sz w:val="28"/>
          <w:szCs w:val="28"/>
          <w:lang w:eastAsia="en-US"/>
        </w:rPr>
        <w:t xml:space="preserve">Προτεραιότητα της ελληνικής κυβέρνησης και του Υπουργείου Μετανάστευσης είναι η προστασία των ασυνόδευτων- ευάλωτων ανηλίκων. Στόχος είναι η άμεση βελτίωση των συνθηκών διαβίωσης των </w:t>
      </w:r>
      <w:r w:rsidRPr="3AA1E870">
        <w:rPr>
          <w:rFonts w:eastAsia="Calibri" w:asciiTheme="majorHAnsi" w:hAnsiTheme="majorHAnsi" w:cstheme="majorBidi"/>
          <w:sz w:val="28"/>
          <w:szCs w:val="28"/>
          <w:lang w:eastAsia="en-US"/>
        </w:rPr>
        <w:lastRenderedPageBreak/>
        <w:t xml:space="preserve">παιδιών. Για αυτό από τον Μάρτιο του 2020 τέθηκε σε εφαρμογή το Σχέδιο Δράσης Άμεσης Στήριξης της Ελλάδας, μέρος του οποίου αποτελεί η μετεγκατάσταση 1600 ανήλικων, στη συντριπτική τους πλειοψηφία ασυνόδευτα παιδιά αλλά και ανήλικα με σοβαρές ιατρικές παθήσεις ή άλλες </w:t>
      </w:r>
      <w:proofErr w:type="spellStart"/>
      <w:r w:rsidRPr="3AA1E870">
        <w:rPr>
          <w:rFonts w:eastAsia="Calibri" w:asciiTheme="majorHAnsi" w:hAnsiTheme="majorHAnsi" w:cstheme="majorBidi"/>
          <w:sz w:val="28"/>
          <w:szCs w:val="28"/>
          <w:lang w:eastAsia="en-US"/>
        </w:rPr>
        <w:t>ευαλωτότητες</w:t>
      </w:r>
      <w:proofErr w:type="spellEnd"/>
      <w:r w:rsidRPr="3AA1E870">
        <w:rPr>
          <w:rFonts w:eastAsia="Calibri" w:asciiTheme="majorHAnsi" w:hAnsiTheme="majorHAnsi" w:cstheme="majorBidi"/>
          <w:sz w:val="28"/>
          <w:szCs w:val="28"/>
          <w:lang w:eastAsia="en-US"/>
        </w:rPr>
        <w:t>. Το πρόγραμμα μετεγκατάστασης συντονίζει η Ειδική Γραμματεία για την Προστασία των Ασυνόδευτων Ανηλίκων, ενώ εμπλέκονται φορείς όπως η Ευρωπαϊκή Υπηρεσία Ασύλου (EASO), η Ύπατη Αρμοστεία του ΟΗΕ, ο Διεθνής Οργανισμός Μετανάστευσης κ.ά. Από τον Απρίλιο έχουν ξεκινήσει οι συστηματικές μετεγκαταστάσεις παιδιών μέχρι στιγμής σε 11 χώρες, ενώ το ενδιαφέρον  για να ενταχθούν στο πρόγραμμα και άλλες ευρωπαϊκές χώρες είναι μεγάλο.</w:t>
      </w:r>
    </w:p>
    <w:p w:rsidRPr="00B514C6" w:rsidR="3AA1E870" w:rsidP="00B514C6" w:rsidRDefault="37D6DAA6" w14:paraId="6AC14048" w14:textId="4E8F3EDF">
      <w:pPr>
        <w:spacing w:after="160" w:line="259" w:lineRule="auto"/>
        <w:jc w:val="both"/>
        <w:rPr>
          <w:rFonts w:eastAsia="Calibri" w:asciiTheme="majorHAnsi" w:hAnsiTheme="majorHAnsi" w:cstheme="majorBidi"/>
          <w:sz w:val="28"/>
          <w:szCs w:val="28"/>
          <w:lang w:eastAsia="en-US"/>
        </w:rPr>
      </w:pPr>
      <w:r w:rsidRPr="3AA1E870">
        <w:rPr>
          <w:rFonts w:eastAsia="Calibri" w:asciiTheme="majorHAnsi" w:hAnsiTheme="majorHAnsi" w:cstheme="majorBidi"/>
          <w:sz w:val="28"/>
          <w:szCs w:val="28"/>
          <w:lang w:eastAsia="en-US"/>
        </w:rPr>
        <w:t xml:space="preserve">Σήμερα, έχουν πραγματοποιηθεί συνολικά </w:t>
      </w:r>
      <w:r w:rsidRPr="3AA1E870">
        <w:rPr>
          <w:rFonts w:eastAsia="Calibri" w:asciiTheme="majorHAnsi" w:hAnsiTheme="majorHAnsi" w:cstheme="majorBidi"/>
          <w:b/>
          <w:bCs/>
          <w:sz w:val="28"/>
          <w:szCs w:val="28"/>
          <w:lang w:eastAsia="en-US"/>
        </w:rPr>
        <w:t xml:space="preserve">73 </w:t>
      </w:r>
      <w:r w:rsidRPr="3AA1E870">
        <w:rPr>
          <w:rFonts w:eastAsia="Calibri" w:asciiTheme="majorHAnsi" w:hAnsiTheme="majorHAnsi" w:cstheme="majorBidi"/>
          <w:sz w:val="28"/>
          <w:szCs w:val="28"/>
          <w:lang w:eastAsia="en-US"/>
        </w:rPr>
        <w:t>μετεγκαταστάσεις ασυνόδευτων ανηλίκων σε 5 χώρες της Ευρωπαϊκής Ένωσης.</w:t>
      </w:r>
    </w:p>
    <w:sectPr w:rsidRPr="00B514C6" w:rsidR="3AA1E870">
      <w:pgSz w:w="11906" w:h="16838" w:orient="portrait"/>
      <w:pgMar w:top="1440" w:right="1800" w:bottom="1440" w:left="180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A1"/>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0A326E"/>
    <w:multiLevelType w:val="hybridMultilevel"/>
    <w:tmpl w:val="BEB0EA90"/>
    <w:lvl w:ilvl="0" w:tplc="18921F5C">
      <w:start w:val="1"/>
      <w:numFmt w:val="bullet"/>
      <w:lvlText w:val=""/>
      <w:lvlJc w:val="left"/>
      <w:pPr>
        <w:ind w:left="720" w:hanging="360"/>
      </w:pPr>
      <w:rPr>
        <w:rFonts w:hint="default" w:ascii="Symbol" w:hAnsi="Symbol"/>
      </w:rPr>
    </w:lvl>
    <w:lvl w:ilvl="1" w:tplc="938CE63A">
      <w:start w:val="1"/>
      <w:numFmt w:val="bullet"/>
      <w:lvlText w:val="o"/>
      <w:lvlJc w:val="left"/>
      <w:pPr>
        <w:ind w:left="1440" w:hanging="360"/>
      </w:pPr>
      <w:rPr>
        <w:rFonts w:hint="default" w:ascii="Courier New" w:hAnsi="Courier New"/>
      </w:rPr>
    </w:lvl>
    <w:lvl w:ilvl="2" w:tplc="BC7ED5F8">
      <w:start w:val="1"/>
      <w:numFmt w:val="bullet"/>
      <w:lvlText w:val=""/>
      <w:lvlJc w:val="left"/>
      <w:pPr>
        <w:ind w:left="2160" w:hanging="360"/>
      </w:pPr>
      <w:rPr>
        <w:rFonts w:hint="default" w:ascii="Wingdings" w:hAnsi="Wingdings"/>
      </w:rPr>
    </w:lvl>
    <w:lvl w:ilvl="3" w:tplc="38EAC43E">
      <w:start w:val="1"/>
      <w:numFmt w:val="bullet"/>
      <w:lvlText w:val=""/>
      <w:lvlJc w:val="left"/>
      <w:pPr>
        <w:ind w:left="2880" w:hanging="360"/>
      </w:pPr>
      <w:rPr>
        <w:rFonts w:hint="default" w:ascii="Symbol" w:hAnsi="Symbol"/>
      </w:rPr>
    </w:lvl>
    <w:lvl w:ilvl="4" w:tplc="14960B7C">
      <w:start w:val="1"/>
      <w:numFmt w:val="bullet"/>
      <w:lvlText w:val="o"/>
      <w:lvlJc w:val="left"/>
      <w:pPr>
        <w:ind w:left="3600" w:hanging="360"/>
      </w:pPr>
      <w:rPr>
        <w:rFonts w:hint="default" w:ascii="Courier New" w:hAnsi="Courier New"/>
      </w:rPr>
    </w:lvl>
    <w:lvl w:ilvl="5" w:tplc="093EDAE4">
      <w:start w:val="1"/>
      <w:numFmt w:val="bullet"/>
      <w:lvlText w:val=""/>
      <w:lvlJc w:val="left"/>
      <w:pPr>
        <w:ind w:left="4320" w:hanging="360"/>
      </w:pPr>
      <w:rPr>
        <w:rFonts w:hint="default" w:ascii="Wingdings" w:hAnsi="Wingdings"/>
      </w:rPr>
    </w:lvl>
    <w:lvl w:ilvl="6" w:tplc="D5C43F30">
      <w:start w:val="1"/>
      <w:numFmt w:val="bullet"/>
      <w:lvlText w:val=""/>
      <w:lvlJc w:val="left"/>
      <w:pPr>
        <w:ind w:left="5040" w:hanging="360"/>
      </w:pPr>
      <w:rPr>
        <w:rFonts w:hint="default" w:ascii="Symbol" w:hAnsi="Symbol"/>
      </w:rPr>
    </w:lvl>
    <w:lvl w:ilvl="7" w:tplc="80EC66A4">
      <w:start w:val="1"/>
      <w:numFmt w:val="bullet"/>
      <w:lvlText w:val="o"/>
      <w:lvlJc w:val="left"/>
      <w:pPr>
        <w:ind w:left="5760" w:hanging="360"/>
      </w:pPr>
      <w:rPr>
        <w:rFonts w:hint="default" w:ascii="Courier New" w:hAnsi="Courier New"/>
      </w:rPr>
    </w:lvl>
    <w:lvl w:ilvl="8" w:tplc="2BD028A0">
      <w:start w:val="1"/>
      <w:numFmt w:val="bullet"/>
      <w:lvlText w:val=""/>
      <w:lvlJc w:val="left"/>
      <w:pPr>
        <w:ind w:left="6480" w:hanging="360"/>
      </w:pPr>
      <w:rPr>
        <w:rFonts w:hint="default" w:ascii="Wingdings" w:hAnsi="Wingdings"/>
      </w:rPr>
    </w:lvl>
  </w:abstractNum>
  <w:abstractNum w:abstractNumId="1" w15:restartNumberingAfterBreak="0">
    <w:nsid w:val="3E0F074A"/>
    <w:multiLevelType w:val="hybridMultilevel"/>
    <w:tmpl w:val="FFFFFFFF"/>
    <w:lvl w:ilvl="0" w:tplc="874015FA">
      <w:start w:val="1"/>
      <w:numFmt w:val="upperRoman"/>
      <w:lvlText w:val="%1."/>
      <w:lvlJc w:val="right"/>
      <w:pPr>
        <w:ind w:left="720" w:hanging="360"/>
      </w:pPr>
    </w:lvl>
    <w:lvl w:ilvl="1" w:tplc="6882B1FE">
      <w:start w:val="1"/>
      <w:numFmt w:val="lowerLetter"/>
      <w:lvlText w:val="%2."/>
      <w:lvlJc w:val="left"/>
      <w:pPr>
        <w:ind w:left="1440" w:hanging="360"/>
      </w:pPr>
    </w:lvl>
    <w:lvl w:ilvl="2" w:tplc="F542AC34">
      <w:start w:val="1"/>
      <w:numFmt w:val="lowerRoman"/>
      <w:lvlText w:val="%3."/>
      <w:lvlJc w:val="right"/>
      <w:pPr>
        <w:ind w:left="2160" w:hanging="180"/>
      </w:pPr>
    </w:lvl>
    <w:lvl w:ilvl="3" w:tplc="F7F2B248">
      <w:start w:val="1"/>
      <w:numFmt w:val="decimal"/>
      <w:lvlText w:val="%4."/>
      <w:lvlJc w:val="left"/>
      <w:pPr>
        <w:ind w:left="2880" w:hanging="360"/>
      </w:pPr>
    </w:lvl>
    <w:lvl w:ilvl="4" w:tplc="FD26584A">
      <w:start w:val="1"/>
      <w:numFmt w:val="lowerLetter"/>
      <w:lvlText w:val="%5."/>
      <w:lvlJc w:val="left"/>
      <w:pPr>
        <w:ind w:left="3600" w:hanging="360"/>
      </w:pPr>
    </w:lvl>
    <w:lvl w:ilvl="5" w:tplc="A56A46B4">
      <w:start w:val="1"/>
      <w:numFmt w:val="lowerRoman"/>
      <w:lvlText w:val="%6."/>
      <w:lvlJc w:val="right"/>
      <w:pPr>
        <w:ind w:left="4320" w:hanging="180"/>
      </w:pPr>
    </w:lvl>
    <w:lvl w:ilvl="6" w:tplc="B2D662F2">
      <w:start w:val="1"/>
      <w:numFmt w:val="decimal"/>
      <w:lvlText w:val="%7."/>
      <w:lvlJc w:val="left"/>
      <w:pPr>
        <w:ind w:left="5040" w:hanging="360"/>
      </w:pPr>
    </w:lvl>
    <w:lvl w:ilvl="7" w:tplc="32A69212">
      <w:start w:val="1"/>
      <w:numFmt w:val="lowerLetter"/>
      <w:lvlText w:val="%8."/>
      <w:lvlJc w:val="left"/>
      <w:pPr>
        <w:ind w:left="5760" w:hanging="360"/>
      </w:pPr>
    </w:lvl>
    <w:lvl w:ilvl="8" w:tplc="245C5026">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trackRevisions w:val="fal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66A"/>
    <w:rsid w:val="00022662"/>
    <w:rsid w:val="000240F3"/>
    <w:rsid w:val="0004489E"/>
    <w:rsid w:val="000500E0"/>
    <w:rsid w:val="00064913"/>
    <w:rsid w:val="000651CF"/>
    <w:rsid w:val="000715DD"/>
    <w:rsid w:val="000900F9"/>
    <w:rsid w:val="000C4ECE"/>
    <w:rsid w:val="000C7572"/>
    <w:rsid w:val="000D7041"/>
    <w:rsid w:val="000F5AE3"/>
    <w:rsid w:val="00117910"/>
    <w:rsid w:val="001230C3"/>
    <w:rsid w:val="00130DCE"/>
    <w:rsid w:val="00140770"/>
    <w:rsid w:val="0015285A"/>
    <w:rsid w:val="00161872"/>
    <w:rsid w:val="001643FC"/>
    <w:rsid w:val="00170D25"/>
    <w:rsid w:val="001805F5"/>
    <w:rsid w:val="00184333"/>
    <w:rsid w:val="001A0C77"/>
    <w:rsid w:val="001B3972"/>
    <w:rsid w:val="001B398B"/>
    <w:rsid w:val="001B511E"/>
    <w:rsid w:val="001C3660"/>
    <w:rsid w:val="001C434C"/>
    <w:rsid w:val="001C7EC0"/>
    <w:rsid w:val="001E134E"/>
    <w:rsid w:val="001E2A21"/>
    <w:rsid w:val="001E3FEB"/>
    <w:rsid w:val="001E5133"/>
    <w:rsid w:val="001F5AF5"/>
    <w:rsid w:val="001F5D4D"/>
    <w:rsid w:val="00202736"/>
    <w:rsid w:val="00214C35"/>
    <w:rsid w:val="00221EC3"/>
    <w:rsid w:val="00224455"/>
    <w:rsid w:val="00246CC7"/>
    <w:rsid w:val="00253CA5"/>
    <w:rsid w:val="0025689F"/>
    <w:rsid w:val="00257AB9"/>
    <w:rsid w:val="0026054C"/>
    <w:rsid w:val="002B23B0"/>
    <w:rsid w:val="002B44B5"/>
    <w:rsid w:val="002C05D1"/>
    <w:rsid w:val="002C0DC5"/>
    <w:rsid w:val="002C4316"/>
    <w:rsid w:val="002C5942"/>
    <w:rsid w:val="002D18AF"/>
    <w:rsid w:val="002D5395"/>
    <w:rsid w:val="002D71BE"/>
    <w:rsid w:val="002E098A"/>
    <w:rsid w:val="002E33C7"/>
    <w:rsid w:val="002E5285"/>
    <w:rsid w:val="002F4556"/>
    <w:rsid w:val="003042F0"/>
    <w:rsid w:val="00317DC9"/>
    <w:rsid w:val="003206DC"/>
    <w:rsid w:val="003274E1"/>
    <w:rsid w:val="00334C84"/>
    <w:rsid w:val="003434BF"/>
    <w:rsid w:val="003549DC"/>
    <w:rsid w:val="003657C0"/>
    <w:rsid w:val="003715DE"/>
    <w:rsid w:val="00371B0A"/>
    <w:rsid w:val="003778A0"/>
    <w:rsid w:val="003816FD"/>
    <w:rsid w:val="0038772C"/>
    <w:rsid w:val="003A394E"/>
    <w:rsid w:val="003B03C7"/>
    <w:rsid w:val="003D0949"/>
    <w:rsid w:val="003D4478"/>
    <w:rsid w:val="003F04F1"/>
    <w:rsid w:val="00401DA2"/>
    <w:rsid w:val="00402A56"/>
    <w:rsid w:val="00403B19"/>
    <w:rsid w:val="004072D3"/>
    <w:rsid w:val="00415762"/>
    <w:rsid w:val="004349A6"/>
    <w:rsid w:val="004517F1"/>
    <w:rsid w:val="00452C00"/>
    <w:rsid w:val="004621AA"/>
    <w:rsid w:val="00471460"/>
    <w:rsid w:val="004A5221"/>
    <w:rsid w:val="004A6195"/>
    <w:rsid w:val="004C571A"/>
    <w:rsid w:val="004C6A99"/>
    <w:rsid w:val="004D463B"/>
    <w:rsid w:val="004DCF18"/>
    <w:rsid w:val="004E3141"/>
    <w:rsid w:val="004E6FD9"/>
    <w:rsid w:val="00504ED2"/>
    <w:rsid w:val="0050749C"/>
    <w:rsid w:val="00516E77"/>
    <w:rsid w:val="005238F6"/>
    <w:rsid w:val="00524852"/>
    <w:rsid w:val="005351A2"/>
    <w:rsid w:val="00557798"/>
    <w:rsid w:val="00565229"/>
    <w:rsid w:val="00566035"/>
    <w:rsid w:val="00571E21"/>
    <w:rsid w:val="00575C18"/>
    <w:rsid w:val="00577402"/>
    <w:rsid w:val="00581984"/>
    <w:rsid w:val="00593C92"/>
    <w:rsid w:val="005950E3"/>
    <w:rsid w:val="00597ED9"/>
    <w:rsid w:val="005A2536"/>
    <w:rsid w:val="005B7C87"/>
    <w:rsid w:val="005C2C07"/>
    <w:rsid w:val="005C313F"/>
    <w:rsid w:val="005E00F5"/>
    <w:rsid w:val="005E5EE9"/>
    <w:rsid w:val="005F3E4B"/>
    <w:rsid w:val="005F584D"/>
    <w:rsid w:val="00602EA7"/>
    <w:rsid w:val="006033EC"/>
    <w:rsid w:val="0060750B"/>
    <w:rsid w:val="00614885"/>
    <w:rsid w:val="0062064F"/>
    <w:rsid w:val="00622E6B"/>
    <w:rsid w:val="00627674"/>
    <w:rsid w:val="00643909"/>
    <w:rsid w:val="00661993"/>
    <w:rsid w:val="0067149B"/>
    <w:rsid w:val="00692D8C"/>
    <w:rsid w:val="006A0B8E"/>
    <w:rsid w:val="006C2BB0"/>
    <w:rsid w:val="006D149E"/>
    <w:rsid w:val="0071575D"/>
    <w:rsid w:val="007305DC"/>
    <w:rsid w:val="007364B5"/>
    <w:rsid w:val="00741C26"/>
    <w:rsid w:val="00741F9E"/>
    <w:rsid w:val="00751009"/>
    <w:rsid w:val="00752B17"/>
    <w:rsid w:val="0075798E"/>
    <w:rsid w:val="00765E1D"/>
    <w:rsid w:val="007820DB"/>
    <w:rsid w:val="00784C2D"/>
    <w:rsid w:val="00785477"/>
    <w:rsid w:val="00787E95"/>
    <w:rsid w:val="007939FF"/>
    <w:rsid w:val="007A5676"/>
    <w:rsid w:val="007A6C0E"/>
    <w:rsid w:val="007A79B8"/>
    <w:rsid w:val="007E51C5"/>
    <w:rsid w:val="007F1EF9"/>
    <w:rsid w:val="007F5345"/>
    <w:rsid w:val="0080374E"/>
    <w:rsid w:val="00804B23"/>
    <w:rsid w:val="00823B78"/>
    <w:rsid w:val="00830BDD"/>
    <w:rsid w:val="008316C0"/>
    <w:rsid w:val="0083511C"/>
    <w:rsid w:val="00873D61"/>
    <w:rsid w:val="00880AD2"/>
    <w:rsid w:val="0088655C"/>
    <w:rsid w:val="0089381E"/>
    <w:rsid w:val="008A3A81"/>
    <w:rsid w:val="008B746D"/>
    <w:rsid w:val="008C3C17"/>
    <w:rsid w:val="008E22D7"/>
    <w:rsid w:val="008F12FE"/>
    <w:rsid w:val="00907010"/>
    <w:rsid w:val="00907721"/>
    <w:rsid w:val="009217E8"/>
    <w:rsid w:val="00940DA7"/>
    <w:rsid w:val="00941E91"/>
    <w:rsid w:val="00947B14"/>
    <w:rsid w:val="009511A4"/>
    <w:rsid w:val="009552CD"/>
    <w:rsid w:val="0095667E"/>
    <w:rsid w:val="00960084"/>
    <w:rsid w:val="009651CE"/>
    <w:rsid w:val="00970758"/>
    <w:rsid w:val="009835D6"/>
    <w:rsid w:val="00992AA8"/>
    <w:rsid w:val="00994F93"/>
    <w:rsid w:val="00997368"/>
    <w:rsid w:val="009A7877"/>
    <w:rsid w:val="009D51D5"/>
    <w:rsid w:val="009E4291"/>
    <w:rsid w:val="009F0865"/>
    <w:rsid w:val="009F58C3"/>
    <w:rsid w:val="009F7BC8"/>
    <w:rsid w:val="00A037FF"/>
    <w:rsid w:val="00A0517A"/>
    <w:rsid w:val="00A071EA"/>
    <w:rsid w:val="00A1058D"/>
    <w:rsid w:val="00A110C5"/>
    <w:rsid w:val="00A11796"/>
    <w:rsid w:val="00A37E1B"/>
    <w:rsid w:val="00A53E14"/>
    <w:rsid w:val="00A55F99"/>
    <w:rsid w:val="00A63A01"/>
    <w:rsid w:val="00A65957"/>
    <w:rsid w:val="00A774DF"/>
    <w:rsid w:val="00A77D0A"/>
    <w:rsid w:val="00A87688"/>
    <w:rsid w:val="00A93463"/>
    <w:rsid w:val="00AB7C12"/>
    <w:rsid w:val="00AD2C7D"/>
    <w:rsid w:val="00AD3E83"/>
    <w:rsid w:val="00AD5E45"/>
    <w:rsid w:val="00AF3C86"/>
    <w:rsid w:val="00B01C3C"/>
    <w:rsid w:val="00B10EB7"/>
    <w:rsid w:val="00B12D0B"/>
    <w:rsid w:val="00B24314"/>
    <w:rsid w:val="00B31F9E"/>
    <w:rsid w:val="00B34047"/>
    <w:rsid w:val="00B37E2F"/>
    <w:rsid w:val="00B43BCA"/>
    <w:rsid w:val="00B514C6"/>
    <w:rsid w:val="00B5453C"/>
    <w:rsid w:val="00B628D6"/>
    <w:rsid w:val="00B74A23"/>
    <w:rsid w:val="00B8385A"/>
    <w:rsid w:val="00B870A8"/>
    <w:rsid w:val="00B97CDA"/>
    <w:rsid w:val="00BA1B3F"/>
    <w:rsid w:val="00BA4C4D"/>
    <w:rsid w:val="00BB6942"/>
    <w:rsid w:val="00BC4DC6"/>
    <w:rsid w:val="00BD1716"/>
    <w:rsid w:val="00BE7E3E"/>
    <w:rsid w:val="00BF7302"/>
    <w:rsid w:val="00C04FB8"/>
    <w:rsid w:val="00C05213"/>
    <w:rsid w:val="00C130D3"/>
    <w:rsid w:val="00C23694"/>
    <w:rsid w:val="00C250C9"/>
    <w:rsid w:val="00C30CCF"/>
    <w:rsid w:val="00C411EA"/>
    <w:rsid w:val="00C47971"/>
    <w:rsid w:val="00C53FDA"/>
    <w:rsid w:val="00C56407"/>
    <w:rsid w:val="00C65E3C"/>
    <w:rsid w:val="00C74BFE"/>
    <w:rsid w:val="00C9583B"/>
    <w:rsid w:val="00CD064D"/>
    <w:rsid w:val="00CE1DE4"/>
    <w:rsid w:val="00D16B7E"/>
    <w:rsid w:val="00D31CA2"/>
    <w:rsid w:val="00D340BE"/>
    <w:rsid w:val="00D36FC2"/>
    <w:rsid w:val="00D514C6"/>
    <w:rsid w:val="00D62021"/>
    <w:rsid w:val="00D63FA4"/>
    <w:rsid w:val="00D70671"/>
    <w:rsid w:val="00D7490C"/>
    <w:rsid w:val="00D803FD"/>
    <w:rsid w:val="00D866E4"/>
    <w:rsid w:val="00D930A1"/>
    <w:rsid w:val="00D9622B"/>
    <w:rsid w:val="00D979BC"/>
    <w:rsid w:val="00DB244F"/>
    <w:rsid w:val="00DB74BF"/>
    <w:rsid w:val="00DC28AB"/>
    <w:rsid w:val="00DD3A8C"/>
    <w:rsid w:val="00DD61CA"/>
    <w:rsid w:val="00DF052F"/>
    <w:rsid w:val="00E02A99"/>
    <w:rsid w:val="00E0647F"/>
    <w:rsid w:val="00E22791"/>
    <w:rsid w:val="00E378CA"/>
    <w:rsid w:val="00E3D1E6"/>
    <w:rsid w:val="00E602EA"/>
    <w:rsid w:val="00E6032E"/>
    <w:rsid w:val="00E65C70"/>
    <w:rsid w:val="00E72044"/>
    <w:rsid w:val="00E736FE"/>
    <w:rsid w:val="00E8006B"/>
    <w:rsid w:val="00E80418"/>
    <w:rsid w:val="00E87C65"/>
    <w:rsid w:val="00EA32FC"/>
    <w:rsid w:val="00EA4BEF"/>
    <w:rsid w:val="00EB4DE3"/>
    <w:rsid w:val="00EC371E"/>
    <w:rsid w:val="00ED0CEC"/>
    <w:rsid w:val="00ED105D"/>
    <w:rsid w:val="00ED1096"/>
    <w:rsid w:val="00ED7368"/>
    <w:rsid w:val="00EF34BE"/>
    <w:rsid w:val="00F03E10"/>
    <w:rsid w:val="00F15027"/>
    <w:rsid w:val="00F27673"/>
    <w:rsid w:val="00F30D42"/>
    <w:rsid w:val="00F34287"/>
    <w:rsid w:val="00F344D9"/>
    <w:rsid w:val="00F4025D"/>
    <w:rsid w:val="00F462CA"/>
    <w:rsid w:val="00F505E8"/>
    <w:rsid w:val="00F5759B"/>
    <w:rsid w:val="00F66A45"/>
    <w:rsid w:val="00F67EC5"/>
    <w:rsid w:val="00F7266A"/>
    <w:rsid w:val="00F734B3"/>
    <w:rsid w:val="00F768D0"/>
    <w:rsid w:val="00F7692A"/>
    <w:rsid w:val="00F80AB8"/>
    <w:rsid w:val="00FA2ACD"/>
    <w:rsid w:val="00FB26D6"/>
    <w:rsid w:val="00FC53C1"/>
    <w:rsid w:val="00FF3AA7"/>
    <w:rsid w:val="016AACDE"/>
    <w:rsid w:val="01B2C05F"/>
    <w:rsid w:val="01F14B50"/>
    <w:rsid w:val="02420E9F"/>
    <w:rsid w:val="0270B374"/>
    <w:rsid w:val="0271DC5E"/>
    <w:rsid w:val="02A3B4A6"/>
    <w:rsid w:val="02B53693"/>
    <w:rsid w:val="02E6AE5A"/>
    <w:rsid w:val="02ED195C"/>
    <w:rsid w:val="02EDEE43"/>
    <w:rsid w:val="02FDA587"/>
    <w:rsid w:val="036CC0FA"/>
    <w:rsid w:val="036E994D"/>
    <w:rsid w:val="03966488"/>
    <w:rsid w:val="039C0CBE"/>
    <w:rsid w:val="03C24F10"/>
    <w:rsid w:val="040E93E4"/>
    <w:rsid w:val="046BE42B"/>
    <w:rsid w:val="046DBF22"/>
    <w:rsid w:val="049DAE35"/>
    <w:rsid w:val="0511AF26"/>
    <w:rsid w:val="0523ED50"/>
    <w:rsid w:val="0538F1B3"/>
    <w:rsid w:val="056EE2B5"/>
    <w:rsid w:val="0599787D"/>
    <w:rsid w:val="05B68459"/>
    <w:rsid w:val="0645E2D3"/>
    <w:rsid w:val="0679D914"/>
    <w:rsid w:val="06AE175B"/>
    <w:rsid w:val="0733AFF8"/>
    <w:rsid w:val="073B4DF9"/>
    <w:rsid w:val="07842DBE"/>
    <w:rsid w:val="07BEFD7C"/>
    <w:rsid w:val="07D58314"/>
    <w:rsid w:val="07E7EDC3"/>
    <w:rsid w:val="082D8F9B"/>
    <w:rsid w:val="089F93CE"/>
    <w:rsid w:val="08A5B45A"/>
    <w:rsid w:val="08E5EAD2"/>
    <w:rsid w:val="08EE92F1"/>
    <w:rsid w:val="0971E2B1"/>
    <w:rsid w:val="09B1300E"/>
    <w:rsid w:val="0A96E64E"/>
    <w:rsid w:val="0AD7F211"/>
    <w:rsid w:val="0B4F0542"/>
    <w:rsid w:val="0C0812E5"/>
    <w:rsid w:val="0C770E53"/>
    <w:rsid w:val="0CD7DD2D"/>
    <w:rsid w:val="0CEA4CF5"/>
    <w:rsid w:val="0D182F13"/>
    <w:rsid w:val="0D46B5C0"/>
    <w:rsid w:val="0D5A10BA"/>
    <w:rsid w:val="0DACBA6E"/>
    <w:rsid w:val="0E19AA6D"/>
    <w:rsid w:val="0E3AAEB8"/>
    <w:rsid w:val="0E5F7FB8"/>
    <w:rsid w:val="0E66BE2B"/>
    <w:rsid w:val="0EDBF9CA"/>
    <w:rsid w:val="0F56AB2F"/>
    <w:rsid w:val="0F5EF0B8"/>
    <w:rsid w:val="0F8C8468"/>
    <w:rsid w:val="0FE38467"/>
    <w:rsid w:val="0FFF5C56"/>
    <w:rsid w:val="100880B5"/>
    <w:rsid w:val="100F6CB6"/>
    <w:rsid w:val="10C7C095"/>
    <w:rsid w:val="12143FDC"/>
    <w:rsid w:val="1272D07E"/>
    <w:rsid w:val="1279C349"/>
    <w:rsid w:val="128074B9"/>
    <w:rsid w:val="12AAD38A"/>
    <w:rsid w:val="12AE5F30"/>
    <w:rsid w:val="13673E6E"/>
    <w:rsid w:val="14657374"/>
    <w:rsid w:val="14731BBC"/>
    <w:rsid w:val="14B242B7"/>
    <w:rsid w:val="14BBAD08"/>
    <w:rsid w:val="14CE80D3"/>
    <w:rsid w:val="14D37044"/>
    <w:rsid w:val="159D80C5"/>
    <w:rsid w:val="15F2DA6F"/>
    <w:rsid w:val="163907CB"/>
    <w:rsid w:val="163AF374"/>
    <w:rsid w:val="16DE066F"/>
    <w:rsid w:val="16F5F28A"/>
    <w:rsid w:val="173C4FF2"/>
    <w:rsid w:val="1777B46F"/>
    <w:rsid w:val="17C9A5A4"/>
    <w:rsid w:val="18238447"/>
    <w:rsid w:val="18F0D861"/>
    <w:rsid w:val="19177B62"/>
    <w:rsid w:val="1923E637"/>
    <w:rsid w:val="19EB032E"/>
    <w:rsid w:val="1B1DADAB"/>
    <w:rsid w:val="1B72DED9"/>
    <w:rsid w:val="1BACB886"/>
    <w:rsid w:val="1C2C3300"/>
    <w:rsid w:val="1C372EC3"/>
    <w:rsid w:val="1CDC407B"/>
    <w:rsid w:val="1D30E5D1"/>
    <w:rsid w:val="1D41A772"/>
    <w:rsid w:val="1D55B787"/>
    <w:rsid w:val="1D7466E4"/>
    <w:rsid w:val="1D89A99D"/>
    <w:rsid w:val="1DAF9F34"/>
    <w:rsid w:val="1DFBA533"/>
    <w:rsid w:val="1E15890C"/>
    <w:rsid w:val="1E280BAF"/>
    <w:rsid w:val="1E8C2295"/>
    <w:rsid w:val="1E9B744C"/>
    <w:rsid w:val="1F3F91D4"/>
    <w:rsid w:val="1FDC0287"/>
    <w:rsid w:val="2046BC3F"/>
    <w:rsid w:val="20B25538"/>
    <w:rsid w:val="20CFEAA2"/>
    <w:rsid w:val="20F46A35"/>
    <w:rsid w:val="210AE51C"/>
    <w:rsid w:val="2118756F"/>
    <w:rsid w:val="2141CFC9"/>
    <w:rsid w:val="2162E38C"/>
    <w:rsid w:val="21AD2B19"/>
    <w:rsid w:val="220C4AA1"/>
    <w:rsid w:val="228BD58B"/>
    <w:rsid w:val="228C7A12"/>
    <w:rsid w:val="22F9D57E"/>
    <w:rsid w:val="23663490"/>
    <w:rsid w:val="2399345D"/>
    <w:rsid w:val="23D03B58"/>
    <w:rsid w:val="23D64B35"/>
    <w:rsid w:val="2438A76C"/>
    <w:rsid w:val="24630632"/>
    <w:rsid w:val="249C636C"/>
    <w:rsid w:val="24D1E740"/>
    <w:rsid w:val="24E6FF24"/>
    <w:rsid w:val="25051934"/>
    <w:rsid w:val="25556F58"/>
    <w:rsid w:val="2587E96E"/>
    <w:rsid w:val="2589ACDC"/>
    <w:rsid w:val="259F9605"/>
    <w:rsid w:val="25B275F2"/>
    <w:rsid w:val="26212B86"/>
    <w:rsid w:val="2677E822"/>
    <w:rsid w:val="26CABFA6"/>
    <w:rsid w:val="26E4CA1D"/>
    <w:rsid w:val="27302DCD"/>
    <w:rsid w:val="27D39099"/>
    <w:rsid w:val="2834FF48"/>
    <w:rsid w:val="2837D3DC"/>
    <w:rsid w:val="2851F060"/>
    <w:rsid w:val="28683B0E"/>
    <w:rsid w:val="288A9BAD"/>
    <w:rsid w:val="28928878"/>
    <w:rsid w:val="28B8B7D3"/>
    <w:rsid w:val="28BB8EA7"/>
    <w:rsid w:val="28DECD58"/>
    <w:rsid w:val="28F6DD97"/>
    <w:rsid w:val="29793658"/>
    <w:rsid w:val="29DCFABD"/>
    <w:rsid w:val="29F6DC13"/>
    <w:rsid w:val="2A493B49"/>
    <w:rsid w:val="2A5A4FA4"/>
    <w:rsid w:val="2A6A8084"/>
    <w:rsid w:val="2A75F5A9"/>
    <w:rsid w:val="2AA588E5"/>
    <w:rsid w:val="2AA7CEB3"/>
    <w:rsid w:val="2B523DE9"/>
    <w:rsid w:val="2B79F2C9"/>
    <w:rsid w:val="2B7CCF67"/>
    <w:rsid w:val="2C17580E"/>
    <w:rsid w:val="2C18A7C1"/>
    <w:rsid w:val="2C4FE5F3"/>
    <w:rsid w:val="2CC8B2E6"/>
    <w:rsid w:val="2DC33F4A"/>
    <w:rsid w:val="2F75D826"/>
    <w:rsid w:val="2FA4C1A5"/>
    <w:rsid w:val="2FAE8F46"/>
    <w:rsid w:val="3088CD36"/>
    <w:rsid w:val="30D05A25"/>
    <w:rsid w:val="30D4C338"/>
    <w:rsid w:val="31DE8C24"/>
    <w:rsid w:val="325C8C50"/>
    <w:rsid w:val="326853C1"/>
    <w:rsid w:val="32831BB3"/>
    <w:rsid w:val="32E51B27"/>
    <w:rsid w:val="32FD022A"/>
    <w:rsid w:val="33224010"/>
    <w:rsid w:val="334233E1"/>
    <w:rsid w:val="3342946B"/>
    <w:rsid w:val="336A7F23"/>
    <w:rsid w:val="3380798C"/>
    <w:rsid w:val="339EC18E"/>
    <w:rsid w:val="33C6FD74"/>
    <w:rsid w:val="33FCE0B3"/>
    <w:rsid w:val="34006384"/>
    <w:rsid w:val="34197671"/>
    <w:rsid w:val="3444670D"/>
    <w:rsid w:val="34509FF1"/>
    <w:rsid w:val="34BB2147"/>
    <w:rsid w:val="3560C6C9"/>
    <w:rsid w:val="357092FC"/>
    <w:rsid w:val="3576E568"/>
    <w:rsid w:val="35B566F3"/>
    <w:rsid w:val="35BCE6BB"/>
    <w:rsid w:val="35D5C708"/>
    <w:rsid w:val="3633742E"/>
    <w:rsid w:val="3657B9F0"/>
    <w:rsid w:val="369C252E"/>
    <w:rsid w:val="36A4D0CC"/>
    <w:rsid w:val="371C59C3"/>
    <w:rsid w:val="371CC657"/>
    <w:rsid w:val="378EB0F7"/>
    <w:rsid w:val="37D6DAA6"/>
    <w:rsid w:val="38284409"/>
    <w:rsid w:val="38716051"/>
    <w:rsid w:val="38935EAD"/>
    <w:rsid w:val="39F7BBE9"/>
    <w:rsid w:val="3A6414A7"/>
    <w:rsid w:val="3A7385DC"/>
    <w:rsid w:val="3A91001C"/>
    <w:rsid w:val="3AA1E870"/>
    <w:rsid w:val="3ABAAFA5"/>
    <w:rsid w:val="3AEF15DD"/>
    <w:rsid w:val="3AF416CA"/>
    <w:rsid w:val="3B30A77C"/>
    <w:rsid w:val="3BF3C2F6"/>
    <w:rsid w:val="3BF4BF58"/>
    <w:rsid w:val="3CBD2259"/>
    <w:rsid w:val="3CECB192"/>
    <w:rsid w:val="3CFF18D2"/>
    <w:rsid w:val="3D164AF3"/>
    <w:rsid w:val="3D797E58"/>
    <w:rsid w:val="3E3C4231"/>
    <w:rsid w:val="3EA5C0A8"/>
    <w:rsid w:val="3F2BEEF8"/>
    <w:rsid w:val="3F9A2809"/>
    <w:rsid w:val="401F1FCF"/>
    <w:rsid w:val="40593E6C"/>
    <w:rsid w:val="406D926C"/>
    <w:rsid w:val="40A98C8E"/>
    <w:rsid w:val="418B5783"/>
    <w:rsid w:val="418F0E4D"/>
    <w:rsid w:val="41BE6856"/>
    <w:rsid w:val="41DC4D1E"/>
    <w:rsid w:val="42086D85"/>
    <w:rsid w:val="42465F43"/>
    <w:rsid w:val="424CF1C9"/>
    <w:rsid w:val="4275E285"/>
    <w:rsid w:val="429D6EA1"/>
    <w:rsid w:val="42E18089"/>
    <w:rsid w:val="4302C477"/>
    <w:rsid w:val="4318A970"/>
    <w:rsid w:val="432AF99F"/>
    <w:rsid w:val="43615D14"/>
    <w:rsid w:val="4372E8F4"/>
    <w:rsid w:val="4374D746"/>
    <w:rsid w:val="440B0A54"/>
    <w:rsid w:val="44CAC08A"/>
    <w:rsid w:val="45106CF0"/>
    <w:rsid w:val="4527F3BB"/>
    <w:rsid w:val="453B8BD3"/>
    <w:rsid w:val="457256A9"/>
    <w:rsid w:val="45753144"/>
    <w:rsid w:val="45B6C927"/>
    <w:rsid w:val="45EE56A0"/>
    <w:rsid w:val="46250FEE"/>
    <w:rsid w:val="466DEF92"/>
    <w:rsid w:val="4673B71C"/>
    <w:rsid w:val="46E7DDD6"/>
    <w:rsid w:val="47139E27"/>
    <w:rsid w:val="472D7F02"/>
    <w:rsid w:val="475CB06C"/>
    <w:rsid w:val="478EDE6A"/>
    <w:rsid w:val="480CBED1"/>
    <w:rsid w:val="4837C13A"/>
    <w:rsid w:val="483C31C1"/>
    <w:rsid w:val="48A17BF9"/>
    <w:rsid w:val="48E04058"/>
    <w:rsid w:val="490DD52D"/>
    <w:rsid w:val="49533F2E"/>
    <w:rsid w:val="49D3C0D9"/>
    <w:rsid w:val="49EC8B52"/>
    <w:rsid w:val="4ABACBC4"/>
    <w:rsid w:val="4AD21E22"/>
    <w:rsid w:val="4B200AB1"/>
    <w:rsid w:val="4B245AF1"/>
    <w:rsid w:val="4B3775DB"/>
    <w:rsid w:val="4B37BC04"/>
    <w:rsid w:val="4B6A5420"/>
    <w:rsid w:val="4B8FE582"/>
    <w:rsid w:val="4B95BD00"/>
    <w:rsid w:val="4C0BDA72"/>
    <w:rsid w:val="4C64C775"/>
    <w:rsid w:val="4CBD3B67"/>
    <w:rsid w:val="4D19D8AD"/>
    <w:rsid w:val="4D3B9645"/>
    <w:rsid w:val="4D752237"/>
    <w:rsid w:val="4DB7ACDF"/>
    <w:rsid w:val="4DDC6835"/>
    <w:rsid w:val="4DE91E80"/>
    <w:rsid w:val="4E28BAB2"/>
    <w:rsid w:val="4F82ECE5"/>
    <w:rsid w:val="4F8925F8"/>
    <w:rsid w:val="4FC14BFB"/>
    <w:rsid w:val="500C35BA"/>
    <w:rsid w:val="509BBC56"/>
    <w:rsid w:val="50A38D36"/>
    <w:rsid w:val="50DBAACC"/>
    <w:rsid w:val="5154A37F"/>
    <w:rsid w:val="520C5215"/>
    <w:rsid w:val="5217673B"/>
    <w:rsid w:val="5291BC8E"/>
    <w:rsid w:val="52C12049"/>
    <w:rsid w:val="52FE0BD6"/>
    <w:rsid w:val="530048A7"/>
    <w:rsid w:val="536FAB57"/>
    <w:rsid w:val="54487323"/>
    <w:rsid w:val="547FED40"/>
    <w:rsid w:val="54B5DD8B"/>
    <w:rsid w:val="556F7F17"/>
    <w:rsid w:val="55834F57"/>
    <w:rsid w:val="5590DF83"/>
    <w:rsid w:val="561C71D0"/>
    <w:rsid w:val="56246D17"/>
    <w:rsid w:val="56C798F0"/>
    <w:rsid w:val="57023F53"/>
    <w:rsid w:val="5762B7A0"/>
    <w:rsid w:val="5764ED48"/>
    <w:rsid w:val="57827DD4"/>
    <w:rsid w:val="57DE92C1"/>
    <w:rsid w:val="57EBA32B"/>
    <w:rsid w:val="582199BF"/>
    <w:rsid w:val="58689625"/>
    <w:rsid w:val="59788BF6"/>
    <w:rsid w:val="5A0F28C6"/>
    <w:rsid w:val="5ABC9404"/>
    <w:rsid w:val="5AD74E3A"/>
    <w:rsid w:val="5B1DED0D"/>
    <w:rsid w:val="5B479D05"/>
    <w:rsid w:val="5B647956"/>
    <w:rsid w:val="5BA2B58A"/>
    <w:rsid w:val="5C93EA43"/>
    <w:rsid w:val="5CA88379"/>
    <w:rsid w:val="5CC5EF8A"/>
    <w:rsid w:val="5CE91F32"/>
    <w:rsid w:val="5D23CB73"/>
    <w:rsid w:val="5D714FDD"/>
    <w:rsid w:val="5E74FB96"/>
    <w:rsid w:val="5E8E9173"/>
    <w:rsid w:val="5FB10052"/>
    <w:rsid w:val="5FB3DEDF"/>
    <w:rsid w:val="5FCD2B10"/>
    <w:rsid w:val="5FF62768"/>
    <w:rsid w:val="60240614"/>
    <w:rsid w:val="6043805D"/>
    <w:rsid w:val="6105749B"/>
    <w:rsid w:val="6116149A"/>
    <w:rsid w:val="612B0BE4"/>
    <w:rsid w:val="617228C4"/>
    <w:rsid w:val="61AAE481"/>
    <w:rsid w:val="6250100E"/>
    <w:rsid w:val="626C98E0"/>
    <w:rsid w:val="62747E6F"/>
    <w:rsid w:val="63CAD511"/>
    <w:rsid w:val="63FBA010"/>
    <w:rsid w:val="64184902"/>
    <w:rsid w:val="643B931A"/>
    <w:rsid w:val="644D7AA3"/>
    <w:rsid w:val="64EDB640"/>
    <w:rsid w:val="64F02ACC"/>
    <w:rsid w:val="64F63D26"/>
    <w:rsid w:val="6515F144"/>
    <w:rsid w:val="65287E91"/>
    <w:rsid w:val="654C295E"/>
    <w:rsid w:val="65A9B53A"/>
    <w:rsid w:val="65F6DB61"/>
    <w:rsid w:val="66021CA3"/>
    <w:rsid w:val="66921675"/>
    <w:rsid w:val="66FEA6E8"/>
    <w:rsid w:val="67711703"/>
    <w:rsid w:val="67FC889D"/>
    <w:rsid w:val="681FA1B8"/>
    <w:rsid w:val="683121D1"/>
    <w:rsid w:val="68557CEB"/>
    <w:rsid w:val="69196157"/>
    <w:rsid w:val="697032AC"/>
    <w:rsid w:val="69A3C152"/>
    <w:rsid w:val="69CDD231"/>
    <w:rsid w:val="6A1AA412"/>
    <w:rsid w:val="6A60EBCF"/>
    <w:rsid w:val="6A9BFC0C"/>
    <w:rsid w:val="6AB12945"/>
    <w:rsid w:val="6B72539E"/>
    <w:rsid w:val="6BAD5803"/>
    <w:rsid w:val="6C326894"/>
    <w:rsid w:val="6C9A7BD3"/>
    <w:rsid w:val="6CD7C7CE"/>
    <w:rsid w:val="6CDB024C"/>
    <w:rsid w:val="6CDD5D42"/>
    <w:rsid w:val="6D15FFED"/>
    <w:rsid w:val="6D2A5F3F"/>
    <w:rsid w:val="6D359F68"/>
    <w:rsid w:val="6D7CC212"/>
    <w:rsid w:val="6E499B69"/>
    <w:rsid w:val="6E7780CD"/>
    <w:rsid w:val="6EC5E050"/>
    <w:rsid w:val="6F268FE3"/>
    <w:rsid w:val="6F3D0C17"/>
    <w:rsid w:val="6F56057D"/>
    <w:rsid w:val="6F87FB70"/>
    <w:rsid w:val="6FAB1CD6"/>
    <w:rsid w:val="6FFEC0ED"/>
    <w:rsid w:val="70479C9D"/>
    <w:rsid w:val="70719732"/>
    <w:rsid w:val="709227B7"/>
    <w:rsid w:val="7108C200"/>
    <w:rsid w:val="713973A4"/>
    <w:rsid w:val="7152EF87"/>
    <w:rsid w:val="71587794"/>
    <w:rsid w:val="719A6775"/>
    <w:rsid w:val="7269D1CD"/>
    <w:rsid w:val="73530830"/>
    <w:rsid w:val="7372E631"/>
    <w:rsid w:val="741F1CE1"/>
    <w:rsid w:val="7456D3ED"/>
    <w:rsid w:val="74AB7569"/>
    <w:rsid w:val="74AF2C17"/>
    <w:rsid w:val="74BD3A0C"/>
    <w:rsid w:val="74C19563"/>
    <w:rsid w:val="74DB14C2"/>
    <w:rsid w:val="74DC262A"/>
    <w:rsid w:val="74F6C595"/>
    <w:rsid w:val="75677264"/>
    <w:rsid w:val="75AA6671"/>
    <w:rsid w:val="760070F8"/>
    <w:rsid w:val="760F9B46"/>
    <w:rsid w:val="76DC6635"/>
    <w:rsid w:val="773FD2E9"/>
    <w:rsid w:val="78301C53"/>
    <w:rsid w:val="783B798E"/>
    <w:rsid w:val="786B8CA5"/>
    <w:rsid w:val="788DEF12"/>
    <w:rsid w:val="78BB13B0"/>
    <w:rsid w:val="78BBE77D"/>
    <w:rsid w:val="78C514A1"/>
    <w:rsid w:val="79018CA0"/>
    <w:rsid w:val="7913E915"/>
    <w:rsid w:val="7929B111"/>
    <w:rsid w:val="797DB7C8"/>
    <w:rsid w:val="7A3E7391"/>
    <w:rsid w:val="7A6F22A4"/>
    <w:rsid w:val="7A745FC4"/>
    <w:rsid w:val="7AD7B8EE"/>
    <w:rsid w:val="7AE1595D"/>
    <w:rsid w:val="7AE6E4AD"/>
    <w:rsid w:val="7B61248A"/>
    <w:rsid w:val="7B643D2F"/>
    <w:rsid w:val="7B89C812"/>
    <w:rsid w:val="7C276AC3"/>
    <w:rsid w:val="7C314760"/>
    <w:rsid w:val="7C467845"/>
    <w:rsid w:val="7CA922BE"/>
    <w:rsid w:val="7CB1E5B2"/>
    <w:rsid w:val="7CB91EB3"/>
    <w:rsid w:val="7D1DA2DB"/>
    <w:rsid w:val="7DC42E01"/>
    <w:rsid w:val="7DF5C05E"/>
    <w:rsid w:val="7E9619E5"/>
    <w:rsid w:val="7EAFD31C"/>
    <w:rsid w:val="7EB45BEB"/>
    <w:rsid w:val="7F0B4F43"/>
    <w:rsid w:val="7F11F5A2"/>
    <w:rsid w:val="7F165A35"/>
    <w:rsid w:val="7F30B03C"/>
    <w:rsid w:val="7FD510EB"/>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D5BB5"/>
  <w15:docId w15:val="{5CC61A28-6ECE-44F9-87C0-D989BC5B7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hAnsi="Times New Roman" w:eastAsia="Times New Roman" w:cs="Times New Roman"/>
        <w:sz w:val="24"/>
        <w:szCs w:val="24"/>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paragraph" w:styleId="NormalWeb">
    <w:name w:val="Normal (Web)"/>
    <w:basedOn w:val="Normal"/>
    <w:uiPriority w:val="99"/>
    <w:unhideWhenUsed/>
    <w:rsid w:val="00221EC3"/>
    <w:pPr>
      <w:spacing w:before="100" w:beforeAutospacing="1" w:after="100" w:afterAutospacing="1"/>
    </w:pPr>
  </w:style>
  <w:style w:type="character" w:styleId="Strong">
    <w:name w:val="Strong"/>
    <w:basedOn w:val="DefaultParagraphFont"/>
    <w:uiPriority w:val="22"/>
    <w:qFormat/>
    <w:rsid w:val="00221EC3"/>
    <w:rPr>
      <w:b/>
      <w:bCs/>
    </w:rPr>
  </w:style>
  <w:style w:type="paragraph" w:styleId="BalloonText">
    <w:name w:val="Balloon Text"/>
    <w:basedOn w:val="Normal"/>
    <w:link w:val="BalloonTextChar"/>
    <w:uiPriority w:val="99"/>
    <w:semiHidden/>
    <w:unhideWhenUsed/>
    <w:rsid w:val="002C5942"/>
    <w:rPr>
      <w:rFonts w:ascii="Segoe UI" w:hAnsi="Segoe UI" w:cs="Segoe UI"/>
      <w:sz w:val="18"/>
      <w:szCs w:val="18"/>
    </w:rPr>
  </w:style>
  <w:style w:type="character" w:styleId="BalloonTextChar" w:customStyle="1">
    <w:name w:val="Balloon Text Char"/>
    <w:basedOn w:val="DefaultParagraphFont"/>
    <w:link w:val="BalloonText"/>
    <w:uiPriority w:val="99"/>
    <w:semiHidden/>
    <w:rsid w:val="002C5942"/>
    <w:rPr>
      <w:rFonts w:ascii="Segoe UI" w:hAnsi="Segoe UI" w:cs="Segoe UI"/>
      <w:sz w:val="18"/>
      <w:szCs w:val="18"/>
    </w:rPr>
  </w:style>
  <w:style w:type="table" w:styleId="5-11" w:customStyle="1">
    <w:name w:val="Πίνακας 5 με σκούρο πλέγμα - Έμφαση 11"/>
    <w:basedOn w:val="TableNormal"/>
    <w:next w:val="GridTable5Dark-Accent1"/>
    <w:uiPriority w:val="50"/>
    <w:rsid w:val="003657C0"/>
    <w:rPr>
      <w:rFonts w:ascii="Calibri" w:hAnsi="Calibri" w:eastAsia="Calibri" w:cs="Arial"/>
      <w:sz w:val="22"/>
      <w:szCs w:val="22"/>
      <w:lang w:eastAsia="en-US"/>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D9E2F3"/>
    </w:tcPr>
    <w:tblStylePr w:type="firstRow">
      <w:rPr>
        <w:b/>
        <w:bCs/>
        <w:color w:val="FFFFFF"/>
      </w:rPr>
      <w:tblPr/>
      <w:tcPr>
        <w:tcBorders>
          <w:top w:val="single" w:color="FFFFFF" w:sz="4" w:space="0"/>
          <w:left w:val="single" w:color="FFFFFF" w:sz="4" w:space="0"/>
          <w:right w:val="single" w:color="FFFFFF" w:sz="4" w:space="0"/>
          <w:insideH w:val="nil"/>
          <w:insideV w:val="nil"/>
        </w:tcBorders>
        <w:shd w:val="clear" w:color="auto" w:fill="4472C4"/>
      </w:tcPr>
    </w:tblStylePr>
    <w:tblStylePr w:type="lastRow">
      <w:rPr>
        <w:b/>
        <w:bCs/>
        <w:color w:val="FFFFFF"/>
      </w:rPr>
      <w:tblPr/>
      <w:tcPr>
        <w:tcBorders>
          <w:left w:val="single" w:color="FFFFFF" w:sz="4" w:space="0"/>
          <w:bottom w:val="single" w:color="FFFFFF" w:sz="4" w:space="0"/>
          <w:right w:val="single" w:color="FFFFFF" w:sz="4" w:space="0"/>
          <w:insideH w:val="nil"/>
          <w:insideV w:val="nil"/>
        </w:tcBorders>
        <w:shd w:val="clear" w:color="auto" w:fill="4472C4"/>
      </w:tcPr>
    </w:tblStylePr>
    <w:tblStylePr w:type="firstCol">
      <w:rPr>
        <w:b/>
        <w:bCs/>
        <w:color w:val="FFFFFF"/>
      </w:rPr>
      <w:tblPr/>
      <w:tcPr>
        <w:tcBorders>
          <w:top w:val="single" w:color="FFFFFF" w:sz="4" w:space="0"/>
          <w:left w:val="single" w:color="FFFFFF" w:sz="4" w:space="0"/>
          <w:bottom w:val="single" w:color="FFFFFF" w:sz="4" w:space="0"/>
          <w:insideV w:val="nil"/>
        </w:tcBorders>
        <w:shd w:val="clear" w:color="auto" w:fill="4472C4"/>
      </w:tcPr>
    </w:tblStylePr>
    <w:tblStylePr w:type="lastCol">
      <w:rPr>
        <w:b/>
        <w:bCs/>
        <w:color w:val="FFFFFF"/>
      </w:rPr>
      <w:tblPr/>
      <w:tcPr>
        <w:tcBorders>
          <w:top w:val="single" w:color="FFFFFF" w:sz="4" w:space="0"/>
          <w:bottom w:val="single" w:color="FFFFFF" w:sz="4" w:space="0"/>
          <w:right w:val="single" w:color="FFFFFF" w:sz="4" w:space="0"/>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5Dark-Accent1">
    <w:name w:val="Grid Table 5 Dark Accent 1"/>
    <w:basedOn w:val="TableNormal"/>
    <w:uiPriority w:val="50"/>
    <w:rsid w:val="003657C0"/>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BE5F1"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F81BD"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F81BD"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4F81BD"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ListParagraph">
    <w:name w:val="List Paragraph"/>
    <w:basedOn w:val="Normal"/>
    <w:uiPriority w:val="34"/>
    <w:qFormat/>
    <w:rsid w:val="00F5759B"/>
    <w:pPr>
      <w:ind w:left="720"/>
      <w:contextualSpacing/>
    </w:pPr>
  </w:style>
  <w:style w:type="table" w:styleId="TableGrid">
    <w:name w:val="Table Grid"/>
    <w:basedOn w:val="TableNormal"/>
    <w:uiPriority w:val="39"/>
    <w:rsid w:val="004621A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6817927">
      <w:bodyDiv w:val="1"/>
      <w:marLeft w:val="0"/>
      <w:marRight w:val="0"/>
      <w:marTop w:val="0"/>
      <w:marBottom w:val="0"/>
      <w:divBdr>
        <w:top w:val="none" w:sz="0" w:space="0" w:color="auto"/>
        <w:left w:val="none" w:sz="0" w:space="0" w:color="auto"/>
        <w:bottom w:val="none" w:sz="0" w:space="0" w:color="auto"/>
        <w:right w:val="none" w:sz="0" w:space="0" w:color="auto"/>
      </w:divBdr>
    </w:div>
    <w:div w:id="728922187">
      <w:bodyDiv w:val="1"/>
      <w:marLeft w:val="0"/>
      <w:marRight w:val="0"/>
      <w:marTop w:val="0"/>
      <w:marBottom w:val="0"/>
      <w:divBdr>
        <w:top w:val="none" w:sz="0" w:space="0" w:color="auto"/>
        <w:left w:val="none" w:sz="0" w:space="0" w:color="auto"/>
        <w:bottom w:val="none" w:sz="0" w:space="0" w:color="auto"/>
        <w:right w:val="none" w:sz="0" w:space="0" w:color="auto"/>
      </w:divBdr>
    </w:div>
    <w:div w:id="1925916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eeas.europa.eu/sites/eeas/files/eu_afghanistan_joint_way_forward_on_migration_issues.pdf"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chart" Target="charts/chart2.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chart" Target="charts/chart1.xml" Id="rId10" /><Relationship Type="http://schemas.openxmlformats.org/officeDocument/2006/relationships/customXml" Target="../customXml/item4.xml" Id="rId4" /><Relationship Type="http://schemas.openxmlformats.org/officeDocument/2006/relationships/image" Target="media/image1.png" Id="rId9" /><Relationship Type="http://schemas.openxmlformats.org/officeDocument/2006/relationships/fontTable" Target="fontTable.xml" Id="rId14" /><Relationship Type="http://schemas.openxmlformats.org/officeDocument/2006/relationships/hyperlink" Target="https://eur-lex.europa.eu/legal-content/EL/TXT/HTML/?uri=LEGISSUM:l14163" TargetMode="External" Id="R011eb8b882104a10" /></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l-GR"/>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Sheet1!$Q$13</c:f>
              <c:strCache>
                <c:ptCount val="1"/>
                <c:pt idx="0">
                  <c:v>ΑΝΑΧΩΡΗΣΕΙΣ Α' ΕΞΑΜΗΝΟ 2019</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18DF-4C89-90DA-080E61F9335E}"/>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18DF-4C89-90DA-080E61F9335E}"/>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18DF-4C89-90DA-080E61F9335E}"/>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18DF-4C89-90DA-080E61F9335E}"/>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18DF-4C89-90DA-080E61F9335E}"/>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B-18DF-4C89-90DA-080E61F9335E}"/>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l-GR"/>
                </a:p>
              </c:txPr>
              <c:dLblPos val="outEnd"/>
              <c:showLegendKey val="0"/>
              <c:showVal val="0"/>
              <c:showCatName val="1"/>
              <c:showSerName val="0"/>
              <c:showPercent val="1"/>
              <c:showBubbleSize val="0"/>
              <c:extLst>
                <c:ext xmlns:c16="http://schemas.microsoft.com/office/drawing/2014/chart" uri="{C3380CC4-5D6E-409C-BE32-E72D297353CC}">
                  <c16:uniqueId val="{00000001-18DF-4C89-90DA-080E61F9335E}"/>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l-GR"/>
                </a:p>
              </c:txPr>
              <c:dLblPos val="outEnd"/>
              <c:showLegendKey val="0"/>
              <c:showVal val="0"/>
              <c:showCatName val="1"/>
              <c:showSerName val="0"/>
              <c:showPercent val="1"/>
              <c:showBubbleSize val="0"/>
              <c:extLst>
                <c:ext xmlns:c16="http://schemas.microsoft.com/office/drawing/2014/chart" uri="{C3380CC4-5D6E-409C-BE32-E72D297353CC}">
                  <c16:uniqueId val="{00000003-18DF-4C89-90DA-080E61F9335E}"/>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l-GR"/>
                </a:p>
              </c:txPr>
              <c:dLblPos val="outEnd"/>
              <c:showLegendKey val="0"/>
              <c:showVal val="0"/>
              <c:showCatName val="1"/>
              <c:showSerName val="0"/>
              <c:showPercent val="1"/>
              <c:showBubbleSize val="0"/>
              <c:extLst>
                <c:ext xmlns:c16="http://schemas.microsoft.com/office/drawing/2014/chart" uri="{C3380CC4-5D6E-409C-BE32-E72D297353CC}">
                  <c16:uniqueId val="{00000005-18DF-4C89-90DA-080E61F9335E}"/>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l-GR"/>
                </a:p>
              </c:txPr>
              <c:dLblPos val="outEnd"/>
              <c:showLegendKey val="0"/>
              <c:showVal val="0"/>
              <c:showCatName val="1"/>
              <c:showSerName val="0"/>
              <c:showPercent val="1"/>
              <c:showBubbleSize val="0"/>
              <c:extLst>
                <c:ext xmlns:c16="http://schemas.microsoft.com/office/drawing/2014/chart" uri="{C3380CC4-5D6E-409C-BE32-E72D297353CC}">
                  <c16:uniqueId val="{00000007-18DF-4C89-90DA-080E61F9335E}"/>
                </c:ext>
              </c:extLst>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l-GR"/>
                </a:p>
              </c:txPr>
              <c:dLblPos val="outEnd"/>
              <c:showLegendKey val="0"/>
              <c:showVal val="0"/>
              <c:showCatName val="1"/>
              <c:showSerName val="0"/>
              <c:showPercent val="1"/>
              <c:showBubbleSize val="0"/>
              <c:extLst>
                <c:ext xmlns:c16="http://schemas.microsoft.com/office/drawing/2014/chart" uri="{C3380CC4-5D6E-409C-BE32-E72D297353CC}">
                  <c16:uniqueId val="{00000009-18DF-4C89-90DA-080E61F9335E}"/>
                </c:ext>
              </c:extLst>
            </c:dLbl>
            <c:dLbl>
              <c:idx val="5"/>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el-GR"/>
                </a:p>
              </c:txPr>
              <c:dLblPos val="outEnd"/>
              <c:showLegendKey val="0"/>
              <c:showVal val="0"/>
              <c:showCatName val="1"/>
              <c:showSerName val="0"/>
              <c:showPercent val="1"/>
              <c:showBubbleSize val="0"/>
              <c:extLst>
                <c:ext xmlns:c16="http://schemas.microsoft.com/office/drawing/2014/chart" uri="{C3380CC4-5D6E-409C-BE32-E72D297353CC}">
                  <c16:uniqueId val="{0000000B-18DF-4C89-90DA-080E61F9335E}"/>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Sheet1!$P$14:$P$19</c:f>
              <c:strCache>
                <c:ptCount val="6"/>
                <c:pt idx="0">
                  <c:v>UAMs</c:v>
                </c:pt>
                <c:pt idx="1">
                  <c:v>ΔΟΥΒΛΙΝΟ</c:v>
                </c:pt>
                <c:pt idx="2">
                  <c:v>ΚΟΙΝΗ ΔΗΛΩΣΗ</c:v>
                </c:pt>
                <c:pt idx="3">
                  <c:v>ΑΝΑΓΚΑΣΤΙΚΕΣ</c:v>
                </c:pt>
                <c:pt idx="4">
                  <c:v>ΔΟΜ</c:v>
                </c:pt>
                <c:pt idx="5">
                  <c:v>ΕΘΕΛΟΥΣΙΕΣ</c:v>
                </c:pt>
              </c:strCache>
            </c:strRef>
          </c:cat>
          <c:val>
            <c:numRef>
              <c:f>Sheet1!$Q$14:$Q$19</c:f>
              <c:numCache>
                <c:formatCode>#,##0</c:formatCode>
                <c:ptCount val="6"/>
                <c:pt idx="0" formatCode="General">
                  <c:v>0</c:v>
                </c:pt>
                <c:pt idx="1">
                  <c:v>1121</c:v>
                </c:pt>
                <c:pt idx="2" formatCode="General">
                  <c:v>79</c:v>
                </c:pt>
                <c:pt idx="3">
                  <c:v>2477</c:v>
                </c:pt>
                <c:pt idx="4">
                  <c:v>2411</c:v>
                </c:pt>
                <c:pt idx="5">
                  <c:v>522</c:v>
                </c:pt>
              </c:numCache>
            </c:numRef>
          </c:val>
          <c:extLst>
            <c:ext xmlns:c16="http://schemas.microsoft.com/office/drawing/2014/chart" uri="{C3380CC4-5D6E-409C-BE32-E72D297353CC}">
              <c16:uniqueId val="{0000000C-18DF-4C89-90DA-080E61F9335E}"/>
            </c:ext>
          </c:extLst>
        </c:ser>
        <c:dLbls>
          <c:dLblPos val="outEnd"/>
          <c:showLegendKey val="0"/>
          <c:showVal val="0"/>
          <c:showCatName val="0"/>
          <c:showSerName val="0"/>
          <c:showPercent val="1"/>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l-GR"/>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l-GR"/>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Sheet1!$R$13</c:f>
              <c:strCache>
                <c:ptCount val="1"/>
                <c:pt idx="0">
                  <c:v>ΑΝΑΧΩΡΗΣΕΙΣ Α' ΕΞΑΜΗΝΟ 2020</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E2E1-4BFC-B6FD-875402711D31}"/>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E2E1-4BFC-B6FD-875402711D31}"/>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E2E1-4BFC-B6FD-875402711D31}"/>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E2E1-4BFC-B6FD-875402711D31}"/>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E2E1-4BFC-B6FD-875402711D31}"/>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B-E2E1-4BFC-B6FD-875402711D31}"/>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l-GR"/>
                </a:p>
              </c:txPr>
              <c:dLblPos val="outEnd"/>
              <c:showLegendKey val="0"/>
              <c:showVal val="0"/>
              <c:showCatName val="1"/>
              <c:showSerName val="0"/>
              <c:showPercent val="1"/>
              <c:showBubbleSize val="0"/>
              <c:extLst>
                <c:ext xmlns:c16="http://schemas.microsoft.com/office/drawing/2014/chart" uri="{C3380CC4-5D6E-409C-BE32-E72D297353CC}">
                  <c16:uniqueId val="{00000001-E2E1-4BFC-B6FD-875402711D31}"/>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l-GR"/>
                </a:p>
              </c:txPr>
              <c:dLblPos val="outEnd"/>
              <c:showLegendKey val="0"/>
              <c:showVal val="0"/>
              <c:showCatName val="1"/>
              <c:showSerName val="0"/>
              <c:showPercent val="1"/>
              <c:showBubbleSize val="0"/>
              <c:extLst>
                <c:ext xmlns:c16="http://schemas.microsoft.com/office/drawing/2014/chart" uri="{C3380CC4-5D6E-409C-BE32-E72D297353CC}">
                  <c16:uniqueId val="{00000003-E2E1-4BFC-B6FD-875402711D31}"/>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l-GR"/>
                </a:p>
              </c:txPr>
              <c:dLblPos val="outEnd"/>
              <c:showLegendKey val="0"/>
              <c:showVal val="0"/>
              <c:showCatName val="1"/>
              <c:showSerName val="0"/>
              <c:showPercent val="1"/>
              <c:showBubbleSize val="0"/>
              <c:extLst>
                <c:ext xmlns:c16="http://schemas.microsoft.com/office/drawing/2014/chart" uri="{C3380CC4-5D6E-409C-BE32-E72D297353CC}">
                  <c16:uniqueId val="{00000005-E2E1-4BFC-B6FD-875402711D31}"/>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l-GR"/>
                </a:p>
              </c:txPr>
              <c:dLblPos val="outEnd"/>
              <c:showLegendKey val="0"/>
              <c:showVal val="0"/>
              <c:showCatName val="1"/>
              <c:showSerName val="0"/>
              <c:showPercent val="1"/>
              <c:showBubbleSize val="0"/>
              <c:extLst>
                <c:ext xmlns:c16="http://schemas.microsoft.com/office/drawing/2014/chart" uri="{C3380CC4-5D6E-409C-BE32-E72D297353CC}">
                  <c16:uniqueId val="{00000007-E2E1-4BFC-B6FD-875402711D31}"/>
                </c:ext>
              </c:extLst>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l-GR"/>
                </a:p>
              </c:txPr>
              <c:dLblPos val="outEnd"/>
              <c:showLegendKey val="0"/>
              <c:showVal val="0"/>
              <c:showCatName val="1"/>
              <c:showSerName val="0"/>
              <c:showPercent val="1"/>
              <c:showBubbleSize val="0"/>
              <c:extLst>
                <c:ext xmlns:c16="http://schemas.microsoft.com/office/drawing/2014/chart" uri="{C3380CC4-5D6E-409C-BE32-E72D297353CC}">
                  <c16:uniqueId val="{00000009-E2E1-4BFC-B6FD-875402711D31}"/>
                </c:ext>
              </c:extLst>
            </c:dLbl>
            <c:dLbl>
              <c:idx val="5"/>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el-GR"/>
                </a:p>
              </c:txPr>
              <c:dLblPos val="outEnd"/>
              <c:showLegendKey val="0"/>
              <c:showVal val="0"/>
              <c:showCatName val="1"/>
              <c:showSerName val="0"/>
              <c:showPercent val="1"/>
              <c:showBubbleSize val="0"/>
              <c:extLst>
                <c:ext xmlns:c16="http://schemas.microsoft.com/office/drawing/2014/chart" uri="{C3380CC4-5D6E-409C-BE32-E72D297353CC}">
                  <c16:uniqueId val="{0000000B-E2E1-4BFC-B6FD-875402711D31}"/>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Sheet1!$P$14:$P$19</c:f>
              <c:strCache>
                <c:ptCount val="6"/>
                <c:pt idx="0">
                  <c:v>UAMs</c:v>
                </c:pt>
                <c:pt idx="1">
                  <c:v>ΔΟΥΒΛΙΝΟ</c:v>
                </c:pt>
                <c:pt idx="2">
                  <c:v>ΚΟΙΝΗ ΔΗΛΩΣΗ</c:v>
                </c:pt>
                <c:pt idx="3">
                  <c:v>ΑΝΑΓΚΑΣΤΙΚΕΣ</c:v>
                </c:pt>
                <c:pt idx="4">
                  <c:v>ΔΟΜ</c:v>
                </c:pt>
                <c:pt idx="5">
                  <c:v>ΕΘΕΛΟΥΣΙΕΣ</c:v>
                </c:pt>
              </c:strCache>
            </c:strRef>
          </c:cat>
          <c:val>
            <c:numRef>
              <c:f>Sheet1!$R$14:$R$19</c:f>
              <c:numCache>
                <c:formatCode>General</c:formatCode>
                <c:ptCount val="6"/>
                <c:pt idx="0">
                  <c:v>162</c:v>
                </c:pt>
                <c:pt idx="1">
                  <c:v>609</c:v>
                </c:pt>
                <c:pt idx="2">
                  <c:v>139</c:v>
                </c:pt>
                <c:pt idx="3" formatCode="#,##0">
                  <c:v>1503</c:v>
                </c:pt>
                <c:pt idx="4">
                  <c:v>948</c:v>
                </c:pt>
                <c:pt idx="5">
                  <c:v>420</c:v>
                </c:pt>
              </c:numCache>
            </c:numRef>
          </c:val>
          <c:extLst>
            <c:ext xmlns:c16="http://schemas.microsoft.com/office/drawing/2014/chart" uri="{C3380CC4-5D6E-409C-BE32-E72D297353CC}">
              <c16:uniqueId val="{0000000C-E2E1-4BFC-B6FD-875402711D31}"/>
            </c:ext>
          </c:extLst>
        </c:ser>
        <c:dLbls>
          <c:dLblPos val="outEnd"/>
          <c:showLegendKey val="0"/>
          <c:showVal val="0"/>
          <c:showCatName val="0"/>
          <c:showSerName val="0"/>
          <c:showPercent val="1"/>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l-GR"/>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039c__x03ac__x03c1__x03c4__x03b9__x03bf__x03c2_ xmlns="23b0b3d7-d903-442b-82a2-3ac84eac3a1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Έγγραφο" ma:contentTypeID="0x010100741A079AE9C53A42BC780C6B99118746" ma:contentTypeVersion="13" ma:contentTypeDescription="Δημιουργία νέου εγγράφου" ma:contentTypeScope="" ma:versionID="11a4aa5b4c16afa949f91325dcdd14ff">
  <xsd:schema xmlns:xsd="http://www.w3.org/2001/XMLSchema" xmlns:xs="http://www.w3.org/2001/XMLSchema" xmlns:p="http://schemas.microsoft.com/office/2006/metadata/properties" xmlns:ns2="23b0b3d7-d903-442b-82a2-3ac84eac3a15" xmlns:ns3="305453b7-07ad-467e-b202-c2ea2acd0966" targetNamespace="http://schemas.microsoft.com/office/2006/metadata/properties" ma:root="true" ma:fieldsID="8703a612ef698110d95c2f7c8c5612bf" ns2:_="" ns3:_="">
    <xsd:import namespace="23b0b3d7-d903-442b-82a2-3ac84eac3a15"/>
    <xsd:import namespace="305453b7-07ad-467e-b202-c2ea2acd096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_x039c__x03ac__x03c1__x03c4__x03b9__x03bf__x03c2_"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b0b3d7-d903-442b-82a2-3ac84eac3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x039c__x03ac__x03c1__x03c4__x03b9__x03bf__x03c2_" ma:index="18" nillable="true" ma:displayName="Μάρτιος" ma:format="Dropdown" ma:internalName="_x039c__x03ac__x03c1__x03c4__x03b9__x03bf__x03c2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5453b7-07ad-467e-b202-c2ea2acd0966" elementFormDefault="qualified">
    <xsd:import namespace="http://schemas.microsoft.com/office/2006/documentManagement/types"/>
    <xsd:import namespace="http://schemas.microsoft.com/office/infopath/2007/PartnerControls"/>
    <xsd:element name="SharedWithUsers" ma:index="19"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Κοινή χρήση με λεπτομέρειες"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FB91EE-A18A-435D-9DCB-7728F011F1B2}">
  <ds:schemaRefs>
    <ds:schemaRef ds:uri="http://schemas.microsoft.com/sharepoint/v3/contenttype/forms"/>
  </ds:schemaRefs>
</ds:datastoreItem>
</file>

<file path=customXml/itemProps2.xml><?xml version="1.0" encoding="utf-8"?>
<ds:datastoreItem xmlns:ds="http://schemas.openxmlformats.org/officeDocument/2006/customXml" ds:itemID="{E04189A6-799F-44E9-BE91-82DE0C71364C}">
  <ds:schemaRefs>
    <ds:schemaRef ds:uri="23b0b3d7-d903-442b-82a2-3ac84eac3a15"/>
    <ds:schemaRef ds:uri="http://purl.org/dc/elements/1.1/"/>
    <ds:schemaRef ds:uri="http://schemas.microsoft.com/office/2006/metadata/properties"/>
    <ds:schemaRef ds:uri="305453b7-07ad-467e-b202-c2ea2acd0966"/>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F44F7284-71DA-4720-A1FB-72920CC324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b0b3d7-d903-442b-82a2-3ac84eac3a15"/>
    <ds:schemaRef ds:uri="305453b7-07ad-467e-b202-c2ea2acd09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7DA67C-E676-4F69-9B3D-3B5191D8275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Apostolia Papadopoulou</dc:creator>
  <cp:keywords/>
  <cp:lastModifiedBy>Αναστασία Βαμβακά</cp:lastModifiedBy>
  <cp:revision>134</cp:revision>
  <cp:lastPrinted>2020-06-18T13:33:00Z</cp:lastPrinted>
  <dcterms:created xsi:type="dcterms:W3CDTF">2020-07-15T06:47:00Z</dcterms:created>
  <dcterms:modified xsi:type="dcterms:W3CDTF">2020-07-21T19:06:31Z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0x010100741A079AE9C53A42BC780C6B99118746</vt:lpwstr>
  </property>
</Properties>
</file>